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line="578" w:lineRule="exact"/>
        <w:ind w:firstLine="0" w:firstLineChars="0"/>
        <w:jc w:val="left"/>
        <w:rPr>
          <w:rFonts w:hint="eastAsia" w:ascii="黑体" w:hAnsi="黑体" w:eastAsia="黑体" w:cs="黑体"/>
          <w:color w:val="000000" w:themeColor="text1"/>
          <w:sz w:val="32"/>
          <w:szCs w:val="28"/>
          <w:lang w:val="en-US" w:eastAsia="zh-CN"/>
          <w14:textFill>
            <w14:solidFill>
              <w14:schemeClr w14:val="tx1"/>
            </w14:solidFill>
          </w14:textFill>
        </w:rPr>
      </w:pPr>
      <w:bookmarkStart w:id="0" w:name="_GoBack"/>
      <w:bookmarkEnd w:id="0"/>
      <w:r>
        <w:rPr>
          <w:rFonts w:hint="eastAsia" w:ascii="黑体" w:hAnsi="黑体" w:eastAsia="黑体" w:cs="黑体"/>
          <w:color w:val="000000"/>
          <w:sz w:val="32"/>
          <w:szCs w:val="28"/>
          <w:lang w:eastAsia="zh-CN"/>
        </w:rPr>
        <w:t>附件</w:t>
      </w:r>
      <w:r>
        <w:rPr>
          <w:rFonts w:hint="eastAsia" w:ascii="黑体" w:hAnsi="黑体" w:eastAsia="黑体" w:cs="黑体"/>
          <w:color w:val="000000"/>
          <w:sz w:val="32"/>
          <w:szCs w:val="28"/>
          <w:lang w:val="en-US" w:eastAsia="zh-CN"/>
        </w:rPr>
        <w:t>1</w:t>
      </w:r>
    </w:p>
    <w:p>
      <w:pPr>
        <w:snapToGrid/>
        <w:spacing w:line="578" w:lineRule="exact"/>
        <w:ind w:firstLine="640" w:firstLineChars="200"/>
        <w:jc w:val="left"/>
        <w:rPr>
          <w:rFonts w:hint="eastAsia" w:ascii="仿宋" w:hAnsi="仿宋" w:eastAsia="仿宋" w:cs="仿宋"/>
          <w:color w:val="000000"/>
          <w:sz w:val="32"/>
          <w:szCs w:val="28"/>
          <w:lang w:val="en-US" w:eastAsia="zh-CN"/>
        </w:rPr>
      </w:pPr>
    </w:p>
    <w:p>
      <w:pPr>
        <w:snapToGrid/>
        <w:spacing w:line="578"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海南省学生资助资金管理办法（</w:t>
      </w:r>
      <w:r>
        <w:rPr>
          <w:rFonts w:hint="eastAsia" w:ascii="方正小标宋简体" w:hAnsi="方正小标宋简体" w:eastAsia="方正小标宋简体" w:cs="方正小标宋简体"/>
          <w:color w:val="000000"/>
          <w:sz w:val="44"/>
          <w:szCs w:val="44"/>
          <w:lang w:eastAsia="zh-CN"/>
        </w:rPr>
        <w:t>征求意见</w:t>
      </w:r>
      <w:r>
        <w:rPr>
          <w:rFonts w:hint="eastAsia" w:ascii="方正小标宋简体" w:hAnsi="方正小标宋简体" w:eastAsia="方正小标宋简体" w:cs="方正小标宋简体"/>
          <w:color w:val="000000"/>
          <w:sz w:val="44"/>
          <w:szCs w:val="44"/>
        </w:rPr>
        <w:t>稿）</w:t>
      </w:r>
    </w:p>
    <w:p>
      <w:pPr>
        <w:topLinePunct/>
        <w:snapToGrid/>
        <w:spacing w:beforeLines="100" w:afterLines="100" w:line="578" w:lineRule="exact"/>
        <w:jc w:val="center"/>
        <w:rPr>
          <w:rFonts w:ascii="Times New Roman" w:hAnsi="Times New Roman" w:eastAsia="黑体"/>
          <w:color w:val="000000"/>
          <w:szCs w:val="28"/>
        </w:rPr>
      </w:pPr>
      <w:r>
        <w:rPr>
          <w:rFonts w:hint="eastAsia" w:ascii="Times New Roman" w:hAnsi="Times New Roman" w:eastAsia="黑体"/>
          <w:color w:val="000000"/>
          <w:szCs w:val="28"/>
        </w:rPr>
        <w:t>第一章</w:t>
      </w:r>
      <w:r>
        <w:rPr>
          <w:rFonts w:ascii="Times New Roman" w:hAnsi="Times New Roman" w:eastAsia="黑体"/>
          <w:color w:val="000000"/>
          <w:szCs w:val="28"/>
        </w:rPr>
        <w:t xml:space="preserve"> </w:t>
      </w:r>
      <w:r>
        <w:rPr>
          <w:rFonts w:hint="eastAsia" w:ascii="Times New Roman" w:hAnsi="Times New Roman" w:eastAsia="黑体"/>
          <w:color w:val="000000"/>
          <w:szCs w:val="28"/>
        </w:rPr>
        <w:t>总则</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szCs w:val="28"/>
        </w:rPr>
        <w:t xml:space="preserve">第一条 </w:t>
      </w:r>
      <w:r>
        <w:rPr>
          <w:rFonts w:hint="eastAsia" w:ascii="仿宋" w:hAnsi="仿宋" w:eastAsia="仿宋" w:cs="仿宋"/>
          <w:color w:val="000000"/>
          <w:szCs w:val="28"/>
        </w:rPr>
        <w:t>为规范和加强学</w:t>
      </w:r>
      <w:r>
        <w:rPr>
          <w:rFonts w:hint="eastAsia" w:ascii="仿宋" w:hAnsi="仿宋" w:eastAsia="仿宋" w:cs="仿宋"/>
          <w:color w:val="000000" w:themeColor="text1"/>
          <w:szCs w:val="28"/>
          <w14:textFill>
            <w14:solidFill>
              <w14:schemeClr w14:val="tx1"/>
            </w14:solidFill>
          </w14:textFill>
        </w:rPr>
        <w:t>生资助资金管理，提高资金使用效益，确保资助工作顺利开展，按照《财政部 教育部 人力资源社会保障部 退役军人部 中央军委国防动员部关于印发〈学生资助资金管理办法〉的通知》（财教〔20</w:t>
      </w:r>
      <w:r>
        <w:rPr>
          <w:rFonts w:hint="eastAsia" w:ascii="仿宋" w:hAnsi="仿宋" w:eastAsia="仿宋" w:cs="仿宋"/>
          <w:color w:val="000000" w:themeColor="text1"/>
          <w:szCs w:val="28"/>
          <w:lang w:val="en-US" w:eastAsia="zh-CN"/>
          <w14:textFill>
            <w14:solidFill>
              <w14:schemeClr w14:val="tx1"/>
            </w14:solidFill>
          </w14:textFill>
        </w:rPr>
        <w:t>21</w:t>
      </w:r>
      <w:r>
        <w:rPr>
          <w:rFonts w:hint="eastAsia" w:ascii="仿宋" w:hAnsi="仿宋" w:eastAsia="仿宋" w:cs="仿宋"/>
          <w:color w:val="000000" w:themeColor="text1"/>
          <w:szCs w:val="28"/>
          <w14:textFill>
            <w14:solidFill>
              <w14:schemeClr w14:val="tx1"/>
            </w14:solidFill>
          </w14:textFill>
        </w:rPr>
        <w:t>〕</w:t>
      </w:r>
      <w:r>
        <w:rPr>
          <w:rFonts w:hint="eastAsia" w:ascii="仿宋" w:hAnsi="仿宋" w:eastAsia="仿宋" w:cs="仿宋"/>
          <w:color w:val="000000" w:themeColor="text1"/>
          <w:szCs w:val="28"/>
          <w:lang w:val="en-US" w:eastAsia="zh-CN"/>
          <w14:textFill>
            <w14:solidFill>
              <w14:schemeClr w14:val="tx1"/>
            </w14:solidFill>
          </w14:textFill>
        </w:rPr>
        <w:t>310</w:t>
      </w:r>
      <w:r>
        <w:rPr>
          <w:rFonts w:hint="eastAsia" w:ascii="仿宋" w:hAnsi="仿宋" w:eastAsia="仿宋" w:cs="仿宋"/>
          <w:color w:val="000000" w:themeColor="text1"/>
          <w:szCs w:val="28"/>
          <w14:textFill>
            <w14:solidFill>
              <w14:schemeClr w14:val="tx1"/>
            </w14:solidFill>
          </w14:textFill>
        </w:rPr>
        <w:t>号）《海南省基本公共服务领域省与市县共同财政事权和支出责任划分改革实施方案》等文件以及预算管理有关规定，制定本办法。</w:t>
      </w:r>
    </w:p>
    <w:p>
      <w:pPr>
        <w:snapToGrid/>
        <w:spacing w:line="578" w:lineRule="exact"/>
        <w:ind w:firstLine="643"/>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 xml:space="preserve">第二条 </w:t>
      </w:r>
      <w:r>
        <w:rPr>
          <w:rFonts w:hint="eastAsia" w:ascii="仿宋" w:hAnsi="仿宋" w:eastAsia="仿宋" w:cs="仿宋"/>
          <w:color w:val="000000" w:themeColor="text1"/>
          <w14:textFill>
            <w14:solidFill>
              <w14:schemeClr w14:val="tx1"/>
            </w14:solidFill>
          </w14:textFill>
        </w:rPr>
        <w:t>本办法所称学生资助资金</w:t>
      </w:r>
      <w:r>
        <w:rPr>
          <w:rFonts w:hint="eastAsia" w:ascii="仿宋" w:hAnsi="仿宋" w:eastAsia="仿宋" w:cs="仿宋"/>
          <w:color w:val="000000" w:themeColor="text1"/>
          <w:lang w:eastAsia="zh-CN"/>
          <w14:textFill>
            <w14:solidFill>
              <w14:schemeClr w14:val="tx1"/>
            </w14:solidFill>
          </w14:textFill>
        </w:rPr>
        <w:t>（以下简称资助资金）</w:t>
      </w:r>
      <w:r>
        <w:rPr>
          <w:rFonts w:hint="eastAsia" w:ascii="仿宋" w:hAnsi="仿宋" w:eastAsia="仿宋" w:cs="仿宋"/>
          <w:color w:val="000000" w:themeColor="text1"/>
          <w14:textFill>
            <w14:solidFill>
              <w14:schemeClr w14:val="tx1"/>
            </w14:solidFill>
          </w14:textFill>
        </w:rPr>
        <w:t>是指中央、省级财政用于</w:t>
      </w:r>
      <w:r>
        <w:rPr>
          <w:rFonts w:hint="eastAsia" w:ascii="仿宋" w:hAnsi="仿宋" w:eastAsia="仿宋" w:cs="仿宋"/>
          <w:color w:val="000000" w:themeColor="text1"/>
          <w:lang w:eastAsia="zh-CN"/>
          <w14:textFill>
            <w14:solidFill>
              <w14:schemeClr w14:val="tx1"/>
            </w14:solidFill>
          </w14:textFill>
        </w:rPr>
        <w:t>支持</w:t>
      </w:r>
      <w:r>
        <w:rPr>
          <w:rFonts w:hint="eastAsia" w:ascii="仿宋" w:hAnsi="仿宋" w:eastAsia="仿宋" w:cs="仿宋"/>
          <w:color w:val="000000" w:themeColor="text1"/>
          <w14:textFill>
            <w14:solidFill>
              <w14:schemeClr w14:val="tx1"/>
            </w14:solidFill>
          </w14:textFill>
        </w:rPr>
        <w:t>落实高等教育（含本专科生和研究生教育）、中等职业教育、普通高中教育等国家、省级资助政策的资金，包括国家奖学金、国家励志奖学金、学业奖学金、国家助学金、免学（杂）费补助资金、服兵役国家教育资助资金、基层就业学费补偿国家助学贷款代偿资金、国家助学贷款奖补资金、免住宿费补助资金、免教材费补助资金、省级奖学金等。</w:t>
      </w:r>
    </w:p>
    <w:p>
      <w:pPr>
        <w:topLinePunct/>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第三条 </w:t>
      </w:r>
      <w:r>
        <w:rPr>
          <w:rFonts w:hint="eastAsia" w:ascii="仿宋" w:hAnsi="仿宋" w:eastAsia="仿宋" w:cs="仿宋"/>
          <w:color w:val="000000" w:themeColor="text1"/>
          <w:szCs w:val="28"/>
          <w14:textFill>
            <w14:solidFill>
              <w14:schemeClr w14:val="tx1"/>
            </w14:solidFill>
          </w14:textFill>
        </w:rPr>
        <w:t>本办法所称普通高校是指根据国家有关规定批准设立、实施全日制高等学历教育的普通本科学校、高等职业学校、高等专科学校；中等职业学校是指根据国家有关规定批准设立，实施全日制中等学历教育的各类职业学校</w:t>
      </w:r>
      <w:r>
        <w:rPr>
          <w:rFonts w:hint="eastAsia" w:ascii="仿宋" w:hAnsi="仿宋" w:eastAsia="仿宋" w:cs="仿宋"/>
          <w:bCs/>
          <w:color w:val="000000" w:themeColor="text1"/>
          <w14:textFill>
            <w14:solidFill>
              <w14:schemeClr w14:val="tx1"/>
            </w14:solidFill>
          </w14:textFill>
        </w:rPr>
        <w:t>（含技工</w:t>
      </w:r>
      <w:r>
        <w:rPr>
          <w:rFonts w:hint="eastAsia" w:ascii="仿宋" w:hAnsi="仿宋" w:eastAsia="仿宋" w:cs="仿宋"/>
          <w:bCs/>
          <w:color w:val="000000" w:themeColor="text1"/>
          <w:lang w:eastAsia="zh-CN"/>
          <w14:textFill>
            <w14:solidFill>
              <w14:schemeClr w14:val="tx1"/>
            </w14:solidFill>
          </w14:textFill>
        </w:rPr>
        <w:t>学</w:t>
      </w:r>
      <w:r>
        <w:rPr>
          <w:rFonts w:hint="eastAsia" w:ascii="仿宋" w:hAnsi="仿宋" w:eastAsia="仿宋" w:cs="仿宋"/>
          <w:bCs/>
          <w:color w:val="000000" w:themeColor="text1"/>
          <w14:textFill>
            <w14:solidFill>
              <w14:schemeClr w14:val="tx1"/>
            </w14:solidFill>
          </w14:textFill>
        </w:rPr>
        <w:t>校）</w:t>
      </w:r>
      <w:r>
        <w:rPr>
          <w:rFonts w:hint="eastAsia" w:ascii="仿宋" w:hAnsi="仿宋" w:eastAsia="仿宋" w:cs="仿宋"/>
          <w:color w:val="000000" w:themeColor="text1"/>
          <w:szCs w:val="28"/>
          <w14:textFill>
            <w14:solidFill>
              <w14:schemeClr w14:val="tx1"/>
            </w14:solidFill>
          </w14:textFill>
        </w:rPr>
        <w:t>；普通高中是指根据国家有关规定批准设立的普通高中学校（含完全中学和十二年一贯制学校的高中部）。</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以上所称各类学校包括民办普通高校（含独立学院）、民办中等职业学校和民办普通高中。</w:t>
      </w:r>
    </w:p>
    <w:p>
      <w:pPr>
        <w:numPr>
          <w:ilvl w:val="0"/>
          <w:numId w:val="1"/>
        </w:num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资助资金由省财政厅、省教育厅、省人力资源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社会保障厅按职责共同管理。</w:t>
      </w:r>
    </w:p>
    <w:p>
      <w:pPr>
        <w:numPr>
          <w:ilvl w:val="-1"/>
          <w:numId w:val="0"/>
        </w:numPr>
        <w:snapToGrid/>
        <w:spacing w:line="578" w:lineRule="exact"/>
        <w:ind w:firstLine="640" w:firstLineChars="200"/>
        <w:rPr>
          <w:rFonts w:hint="eastAsia" w:ascii="仿宋" w:hAnsi="仿宋" w:eastAsia="仿宋" w:cs="仿宋"/>
          <w:color w:val="000000" w:themeColor="text1"/>
          <w:szCs w:val="28"/>
          <w:lang w:eastAsia="zh-CN"/>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省财政厅</w:t>
      </w:r>
      <w:r>
        <w:rPr>
          <w:rFonts w:hint="eastAsia" w:ascii="仿宋" w:hAnsi="仿宋" w:eastAsia="仿宋" w:cs="仿宋"/>
          <w:color w:val="000000" w:themeColor="text1"/>
          <w:szCs w:val="28"/>
          <w:lang w:eastAsia="zh-CN"/>
          <w14:textFill>
            <w14:solidFill>
              <w14:schemeClr w14:val="tx1"/>
            </w14:solidFill>
          </w14:textFill>
        </w:rPr>
        <w:t>职责：</w:t>
      </w:r>
      <w:r>
        <w:rPr>
          <w:rFonts w:hint="eastAsia" w:ascii="仿宋" w:hAnsi="仿宋" w:eastAsia="仿宋" w:cs="仿宋"/>
          <w:color w:val="000000" w:themeColor="text1"/>
          <w:szCs w:val="28"/>
          <w14:textFill>
            <w14:solidFill>
              <w14:schemeClr w14:val="tx1"/>
            </w14:solidFill>
          </w14:textFill>
        </w:rPr>
        <w:t>负责预算</w:t>
      </w:r>
      <w:r>
        <w:rPr>
          <w:rFonts w:hint="eastAsia" w:ascii="仿宋" w:hAnsi="仿宋" w:eastAsia="仿宋" w:cs="仿宋"/>
          <w:color w:val="000000" w:themeColor="text1"/>
          <w:szCs w:val="28"/>
          <w:lang w:eastAsia="zh-CN"/>
          <w14:textFill>
            <w14:solidFill>
              <w14:schemeClr w14:val="tx1"/>
            </w14:solidFill>
          </w14:textFill>
        </w:rPr>
        <w:t>资金的分配与</w:t>
      </w:r>
      <w:r>
        <w:rPr>
          <w:rFonts w:hint="eastAsia" w:ascii="仿宋" w:hAnsi="仿宋" w:eastAsia="仿宋" w:cs="仿宋"/>
          <w:color w:val="000000" w:themeColor="text1"/>
          <w:szCs w:val="28"/>
          <w14:textFill>
            <w14:solidFill>
              <w14:schemeClr w14:val="tx1"/>
            </w14:solidFill>
          </w14:textFill>
        </w:rPr>
        <w:t>下达，组织省教育厅、</w:t>
      </w:r>
      <w:r>
        <w:rPr>
          <w:rFonts w:hint="eastAsia" w:ascii="仿宋" w:hAnsi="仿宋" w:eastAsia="仿宋" w:cs="仿宋"/>
          <w:color w:val="000000" w:themeColor="text1"/>
          <w:szCs w:val="28"/>
          <w:lang w:eastAsia="zh-CN"/>
          <w14:textFill>
            <w14:solidFill>
              <w14:schemeClr w14:val="tx1"/>
            </w14:solidFill>
          </w14:textFill>
        </w:rPr>
        <w:t>省人力资源和社会保障厅</w:t>
      </w:r>
      <w:r>
        <w:rPr>
          <w:rFonts w:hint="eastAsia" w:ascii="仿宋" w:hAnsi="仿宋" w:eastAsia="仿宋" w:cs="仿宋"/>
          <w:color w:val="000000" w:themeColor="text1"/>
          <w:szCs w:val="28"/>
          <w14:textFill>
            <w14:solidFill>
              <w14:schemeClr w14:val="tx1"/>
            </w14:solidFill>
          </w14:textFill>
        </w:rPr>
        <w:t>编制资助资金中期财政规划和年度预算草案。</w:t>
      </w:r>
      <w:r>
        <w:rPr>
          <w:rFonts w:hint="eastAsia" w:ascii="仿宋" w:hAnsi="仿宋" w:eastAsia="仿宋" w:cs="仿宋"/>
          <w:color w:val="000000" w:themeColor="text1"/>
          <w:szCs w:val="28"/>
          <w:lang w:eastAsia="zh-CN"/>
          <w14:textFill>
            <w14:solidFill>
              <w14:schemeClr w14:val="tx1"/>
            </w14:solidFill>
          </w14:textFill>
        </w:rPr>
        <w:t>负责牵头拟定资助资金管理办法，审核资助资金绩效目标，组织开展绩效评价。</w:t>
      </w:r>
    </w:p>
    <w:p>
      <w:pPr>
        <w:pStyle w:val="2"/>
        <w:keepNext w:val="0"/>
        <w:keepLines w:val="0"/>
        <w:pageBreakBefore w:val="0"/>
        <w:widowControl w:val="0"/>
        <w:kinsoku/>
        <w:wordWrap/>
        <w:overflowPunct/>
        <w:topLinePunct w:val="0"/>
        <w:autoSpaceDE/>
        <w:autoSpaceDN/>
        <w:bidi w:val="0"/>
        <w:adjustRightInd w:val="0"/>
        <w:snapToGrid w:val="0"/>
        <w:spacing w:beforeLines="0" w:afterLines="0" w:line="578" w:lineRule="exact"/>
        <w:ind w:left="0" w:lef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bidi="ar-SA"/>
        </w:rPr>
      </w:pPr>
      <w:r>
        <w:rPr>
          <w:rFonts w:hint="eastAsia" w:ascii="仿宋" w:hAnsi="仿宋" w:eastAsia="仿宋" w:cs="仿宋"/>
          <w:color w:val="000000" w:themeColor="text1"/>
          <w:szCs w:val="28"/>
          <w14:textFill>
            <w14:solidFill>
              <w14:schemeClr w14:val="tx1"/>
            </w14:solidFill>
          </w14:textFill>
        </w:rPr>
        <w:t>省教育厅、</w:t>
      </w:r>
      <w:r>
        <w:rPr>
          <w:rFonts w:hint="eastAsia" w:ascii="仿宋" w:hAnsi="仿宋" w:eastAsia="仿宋" w:cs="仿宋"/>
          <w:color w:val="000000" w:themeColor="text1"/>
          <w:szCs w:val="28"/>
          <w:lang w:eastAsia="zh-CN"/>
          <w14:textFill>
            <w14:solidFill>
              <w14:schemeClr w14:val="tx1"/>
            </w14:solidFill>
          </w14:textFill>
        </w:rPr>
        <w:t>省人力资源和社会保障厅职责：负责资助资金预算编制，</w:t>
      </w:r>
      <w:r>
        <w:rPr>
          <w:rFonts w:hint="eastAsia" w:ascii="仿宋" w:hAnsi="仿宋" w:eastAsia="仿宋" w:cs="仿宋"/>
          <w:color w:val="000000" w:themeColor="text1"/>
          <w:szCs w:val="28"/>
          <w14:textFill>
            <w14:solidFill>
              <w14:schemeClr w14:val="tx1"/>
            </w14:solidFill>
          </w14:textFill>
        </w:rPr>
        <w:t>制定</w:t>
      </w:r>
      <w:r>
        <w:rPr>
          <w:rFonts w:hint="eastAsia" w:ascii="仿宋" w:hAnsi="仿宋" w:eastAsia="仿宋" w:cs="仿宋"/>
          <w:color w:val="000000" w:themeColor="text1"/>
          <w:szCs w:val="28"/>
          <w:lang w:eastAsia="zh-CN"/>
          <w14:textFill>
            <w14:solidFill>
              <w14:schemeClr w14:val="tx1"/>
            </w14:solidFill>
          </w14:textFill>
        </w:rPr>
        <w:t>资助</w:t>
      </w:r>
      <w:r>
        <w:rPr>
          <w:rFonts w:hint="eastAsia" w:ascii="仿宋" w:hAnsi="仿宋" w:eastAsia="仿宋" w:cs="仿宋"/>
          <w:color w:val="000000" w:themeColor="text1"/>
          <w:szCs w:val="28"/>
          <w14:textFill>
            <w14:solidFill>
              <w14:schemeClr w14:val="tx1"/>
            </w14:solidFill>
          </w14:textFill>
        </w:rPr>
        <w:t>资金</w:t>
      </w:r>
      <w:r>
        <w:rPr>
          <w:rFonts w:hint="eastAsia" w:hAnsi="仿宋_GB2312" w:cs="仿宋_GB2312"/>
          <w:color w:val="auto"/>
          <w:sz w:val="32"/>
          <w:szCs w:val="32"/>
          <w:highlight w:val="none"/>
          <w:lang w:eastAsia="zh-CN"/>
        </w:rPr>
        <w:t>预算分配建议方案</w:t>
      </w:r>
      <w:r>
        <w:rPr>
          <w:rFonts w:hint="eastAsia" w:ascii="仿宋" w:hAnsi="仿宋" w:eastAsia="仿宋" w:cs="仿宋"/>
          <w:color w:val="000000" w:themeColor="text1"/>
          <w:szCs w:val="28"/>
          <w:lang w:eastAsia="zh-CN"/>
          <w14:textFill>
            <w14:solidFill>
              <w14:schemeClr w14:val="tx1"/>
            </w14:solidFill>
          </w14:textFill>
        </w:rPr>
        <w:t>并相应制定合适的绩效目标。会同省财政厅对资金支出进度、绩效、安全性和规范性、对使用</w:t>
      </w:r>
      <w:r>
        <w:rPr>
          <w:rFonts w:hint="eastAsia" w:ascii="仿宋" w:hAnsi="仿宋" w:eastAsia="仿宋" w:cs="仿宋"/>
          <w:color w:val="000000" w:themeColor="text1"/>
          <w:lang w:eastAsia="zh-CN"/>
          <w14:textFill>
            <w14:solidFill>
              <w14:schemeClr w14:val="tx1"/>
            </w14:solidFill>
          </w14:textFill>
        </w:rPr>
        <w:t>资助资金的</w:t>
      </w:r>
      <w:r>
        <w:rPr>
          <w:rFonts w:hint="eastAsia" w:ascii="仿宋" w:hAnsi="仿宋" w:eastAsia="仿宋" w:cs="仿宋"/>
          <w:color w:val="000000" w:themeColor="text1"/>
          <w:szCs w:val="28"/>
          <w:lang w:eastAsia="zh-CN"/>
          <w14:textFill>
            <w14:solidFill>
              <w14:schemeClr w14:val="tx1"/>
            </w14:solidFill>
          </w14:textFill>
        </w:rPr>
        <w:t>省直单位进行指导和监督。负责申报资助资金预算，。负责组织各地各省属学校审核上报享受资助政策的学生人数、资助范围、资助标准等基础数据，负责完善学生信息管理系统，加强学生学籍和资助信息管理，对提供的基础数据和预算分配建议方案真实性、准确性、及时性负责</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bidi="ar-SA"/>
        </w:rPr>
        <w:t>对资助资金执行情况</w:t>
      </w:r>
      <w:r>
        <w:rPr>
          <w:rFonts w:hint="eastAsia" w:ascii="仿宋_GB2312" w:hAnsi="仿宋_GB2312" w:eastAsia="仿宋_GB2312" w:cs="仿宋_GB2312"/>
          <w:color w:val="auto"/>
          <w:sz w:val="32"/>
          <w:szCs w:val="32"/>
          <w:highlight w:val="none"/>
          <w:u w:val="none"/>
          <w:lang w:val="en-US" w:eastAsia="zh-CN" w:bidi="ar-SA"/>
        </w:rPr>
        <w:t>和绩效运行进行日常</w:t>
      </w:r>
      <w:r>
        <w:rPr>
          <w:rFonts w:hint="eastAsia" w:ascii="仿宋_GB2312" w:hAnsi="仿宋_GB2312" w:eastAsia="仿宋_GB2312" w:cs="仿宋_GB2312"/>
          <w:color w:val="auto"/>
          <w:sz w:val="32"/>
          <w:szCs w:val="32"/>
          <w:highlight w:val="none"/>
          <w:lang w:val="en-US" w:eastAsia="zh-CN" w:bidi="ar-SA"/>
        </w:rPr>
        <w:t>跟踪监管</w:t>
      </w:r>
      <w:r>
        <w:rPr>
          <w:rFonts w:hint="eastAsia" w:ascii="仿宋_GB2312" w:hAnsi="仿宋_GB2312" w:eastAsia="仿宋_GB2312" w:cs="仿宋_GB2312"/>
          <w:color w:val="auto"/>
          <w:sz w:val="32"/>
          <w:szCs w:val="32"/>
          <w:highlight w:val="none"/>
          <w:u w:val="none"/>
          <w:lang w:val="en-US" w:eastAsia="zh-CN" w:bidi="ar-SA"/>
        </w:rPr>
        <w:t>，</w:t>
      </w:r>
      <w:r>
        <w:rPr>
          <w:rFonts w:hint="eastAsia" w:hAnsi="仿宋_GB2312" w:cs="仿宋_GB2312"/>
          <w:color w:val="auto"/>
          <w:sz w:val="32"/>
          <w:szCs w:val="32"/>
          <w:highlight w:val="none"/>
          <w:u w:val="none"/>
          <w:lang w:val="en-US" w:eastAsia="zh-CN" w:bidi="ar-SA"/>
        </w:rPr>
        <w:t>开展重点核查和抽查，</w:t>
      </w:r>
      <w:r>
        <w:rPr>
          <w:rFonts w:hint="eastAsia" w:ascii="仿宋_GB2312" w:hAnsi="仿宋_GB2312" w:eastAsia="仿宋_GB2312" w:cs="仿宋_GB2312"/>
          <w:color w:val="auto"/>
          <w:sz w:val="32"/>
          <w:szCs w:val="32"/>
          <w:highlight w:val="none"/>
          <w:u w:val="none"/>
          <w:lang w:val="en-US" w:eastAsia="zh-CN" w:bidi="ar-SA"/>
        </w:rPr>
        <w:t>组织用款单位开展绩效自评</w:t>
      </w:r>
      <w:r>
        <w:rPr>
          <w:rFonts w:hint="eastAsia" w:hAnsi="仿宋_GB2312" w:cs="仿宋_GB2312"/>
          <w:color w:val="auto"/>
          <w:sz w:val="32"/>
          <w:szCs w:val="32"/>
          <w:highlight w:val="none"/>
          <w:u w:val="none"/>
          <w:lang w:val="en-US" w:eastAsia="zh-CN" w:bidi="ar-SA"/>
        </w:rPr>
        <w:t>，</w:t>
      </w:r>
      <w:r>
        <w:rPr>
          <w:rFonts w:hint="eastAsia" w:ascii="仿宋_GB2312" w:hAnsi="仿宋_GB2312" w:eastAsia="仿宋_GB2312" w:cs="仿宋_GB2312"/>
          <w:color w:val="auto"/>
          <w:sz w:val="32"/>
          <w:szCs w:val="32"/>
          <w:highlight w:val="none"/>
          <w:lang w:val="en-US" w:eastAsia="zh-CN" w:bidi="ar-SA"/>
        </w:rPr>
        <w:t>负责资助资金绩效管理、信息公开</w:t>
      </w:r>
      <w:r>
        <w:rPr>
          <w:rFonts w:hint="eastAsia" w:ascii="仿宋_GB2312" w:hAnsi="仿宋_GB2312" w:eastAsia="仿宋_GB2312" w:cs="仿宋_GB2312"/>
          <w:color w:val="auto"/>
          <w:sz w:val="32"/>
          <w:szCs w:val="32"/>
          <w:highlight w:val="none"/>
        </w:rPr>
        <w:t>。</w:t>
      </w:r>
    </w:p>
    <w:p>
      <w:pPr>
        <w:numPr>
          <w:ilvl w:val="-1"/>
          <w:numId w:val="0"/>
        </w:num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省退役军人事务厅</w:t>
      </w:r>
      <w:r>
        <w:rPr>
          <w:rFonts w:hint="eastAsia" w:ascii="仿宋" w:hAnsi="仿宋" w:eastAsia="仿宋" w:cs="仿宋"/>
          <w:color w:val="000000" w:themeColor="text1"/>
          <w:szCs w:val="28"/>
          <w:lang w:eastAsia="zh-CN"/>
          <w14:textFill>
            <w14:solidFill>
              <w14:schemeClr w14:val="tx1"/>
            </w14:solidFill>
          </w14:textFill>
        </w:rPr>
        <w:t>职责</w:t>
      </w:r>
      <w:r>
        <w:rPr>
          <w:rFonts w:hint="eastAsia" w:ascii="仿宋" w:hAnsi="仿宋" w:eastAsia="仿宋" w:cs="仿宋"/>
          <w:color w:val="000000" w:themeColor="text1"/>
          <w:szCs w:val="28"/>
          <w:lang w:val="en-US"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负责组织各地做好自主就业退役士兵的身份认证工作。</w:t>
      </w:r>
    </w:p>
    <w:p>
      <w:pPr>
        <w:numPr>
          <w:ilvl w:val="-1"/>
          <w:numId w:val="0"/>
        </w:num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省军区动员局</w:t>
      </w:r>
      <w:r>
        <w:rPr>
          <w:rFonts w:hint="eastAsia" w:ascii="仿宋" w:hAnsi="仿宋" w:eastAsia="仿宋" w:cs="仿宋"/>
          <w:color w:val="000000" w:themeColor="text1"/>
          <w:szCs w:val="28"/>
          <w:lang w:eastAsia="zh-CN"/>
          <w14:textFill>
            <w14:solidFill>
              <w14:schemeClr w14:val="tx1"/>
            </w14:solidFill>
          </w14:textFill>
        </w:rPr>
        <w:t>职责：</w:t>
      </w:r>
      <w:r>
        <w:rPr>
          <w:rFonts w:hint="eastAsia" w:ascii="仿宋" w:hAnsi="仿宋" w:eastAsia="仿宋" w:cs="仿宋"/>
          <w:color w:val="000000" w:themeColor="text1"/>
          <w:szCs w:val="28"/>
          <w14:textFill>
            <w14:solidFill>
              <w14:schemeClr w14:val="tx1"/>
            </w14:solidFill>
          </w14:textFill>
        </w:rPr>
        <w:t>负责组织各地兵役机关做好申请学费资助学生入伍的相关认证工作。</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lang w:eastAsia="zh-CN"/>
          <w14:textFill>
            <w14:solidFill>
              <w14:schemeClr w14:val="tx1"/>
            </w14:solidFill>
          </w14:textFill>
        </w:rPr>
        <w:t>市县</w:t>
      </w:r>
      <w:r>
        <w:rPr>
          <w:rFonts w:hint="eastAsia" w:ascii="仿宋" w:hAnsi="仿宋" w:eastAsia="仿宋" w:cs="仿宋"/>
          <w:color w:val="000000" w:themeColor="text1"/>
          <w:szCs w:val="28"/>
          <w14:textFill>
            <w14:solidFill>
              <w14:schemeClr w14:val="tx1"/>
            </w14:solidFill>
          </w14:textFill>
        </w:rPr>
        <w:t>财政、教育、人力资源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w:t>
      </w:r>
      <w:r>
        <w:rPr>
          <w:rFonts w:hint="eastAsia" w:ascii="仿宋" w:hAnsi="仿宋" w:eastAsia="仿宋" w:cs="仿宋"/>
          <w:color w:val="000000" w:themeColor="text1"/>
          <w:szCs w:val="28"/>
          <w:lang w:eastAsia="zh-CN"/>
          <w14:textFill>
            <w14:solidFill>
              <w14:schemeClr w14:val="tx1"/>
            </w14:solidFill>
          </w14:textFill>
        </w:rPr>
        <w:t>部门应</w:t>
      </w:r>
      <w:r>
        <w:rPr>
          <w:rFonts w:hint="eastAsia" w:ascii="仿宋" w:hAnsi="仿宋" w:eastAsia="仿宋" w:cs="仿宋"/>
          <w:color w:val="000000" w:themeColor="text1"/>
          <w:szCs w:val="28"/>
          <w14:textFill>
            <w14:solidFill>
              <w14:schemeClr w14:val="tx1"/>
            </w14:solidFill>
          </w14:textFill>
        </w:rPr>
        <w:t>按职责共同管理资助资金</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对资金使用和政策执行情况进行监督管理。</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lang w:eastAsia="zh-CN"/>
          <w14:textFill>
            <w14:solidFill>
              <w14:schemeClr w14:val="tx1"/>
            </w14:solidFill>
          </w14:textFill>
        </w:rPr>
        <w:t>各市、县（市、区）财政部门职责：组织当地教育、人力资源社会保障部门编制学生资助资金年度预算草案，审核资助资金绩效目标，按程序拨付资金，做好上级资金转下达和本级资金下达工作；对资金使用情况进行监督管理并接受省级监督检查和绩效评价等。</w:t>
      </w:r>
    </w:p>
    <w:p>
      <w:pPr>
        <w:snapToGrid/>
        <w:spacing w:line="578" w:lineRule="exact"/>
        <w:ind w:firstLine="640" w:firstLineChars="200"/>
        <w:rPr>
          <w:rFonts w:hint="eastAsia" w:ascii="仿宋" w:hAnsi="仿宋" w:eastAsia="仿宋" w:cs="仿宋"/>
          <w:color w:val="000000" w:themeColor="text1"/>
          <w:szCs w:val="28"/>
          <w:lang w:eastAsia="zh-CN"/>
          <w14:textFill>
            <w14:solidFill>
              <w14:schemeClr w14:val="tx1"/>
            </w14:solidFill>
          </w14:textFill>
        </w:rPr>
      </w:pPr>
      <w:r>
        <w:rPr>
          <w:rFonts w:hint="eastAsia" w:ascii="仿宋" w:hAnsi="仿宋" w:eastAsia="仿宋" w:cs="仿宋"/>
          <w:color w:val="000000" w:themeColor="text1"/>
          <w:szCs w:val="28"/>
          <w:lang w:eastAsia="zh-CN"/>
          <w14:textFill>
            <w14:solidFill>
              <w14:schemeClr w14:val="tx1"/>
            </w14:solidFill>
          </w14:textFill>
        </w:rPr>
        <w:t>各市、县（市、区）</w:t>
      </w:r>
      <w:r>
        <w:rPr>
          <w:rFonts w:hint="eastAsia" w:ascii="仿宋" w:hAnsi="仿宋" w:eastAsia="仿宋" w:cs="仿宋"/>
          <w:color w:val="000000" w:themeColor="text1"/>
          <w:szCs w:val="28"/>
          <w14:textFill>
            <w14:solidFill>
              <w14:schemeClr w14:val="tx1"/>
            </w14:solidFill>
          </w14:textFill>
        </w:rPr>
        <w:t>教育、</w:t>
      </w:r>
      <w:r>
        <w:rPr>
          <w:rFonts w:hint="eastAsia" w:ascii="仿宋" w:hAnsi="仿宋" w:eastAsia="仿宋" w:cs="仿宋"/>
          <w:color w:val="000000" w:themeColor="text1"/>
          <w:szCs w:val="28"/>
          <w:lang w:eastAsia="zh-CN"/>
          <w14:textFill>
            <w14:solidFill>
              <w14:schemeClr w14:val="tx1"/>
            </w14:solidFill>
          </w14:textFill>
        </w:rPr>
        <w:t>人力资源和社会保障部门职责：负责和</w:t>
      </w:r>
      <w:r>
        <w:rPr>
          <w:rFonts w:hint="eastAsia" w:ascii="仿宋" w:hAnsi="仿宋" w:eastAsia="仿宋" w:cs="仿宋"/>
          <w:color w:val="000000" w:themeColor="text1"/>
          <w:szCs w:val="28"/>
          <w14:textFill>
            <w14:solidFill>
              <w14:schemeClr w14:val="tx1"/>
            </w14:solidFill>
          </w14:textFill>
        </w:rPr>
        <w:t>承担省级下达</w:t>
      </w:r>
      <w:r>
        <w:rPr>
          <w:rFonts w:hint="eastAsia" w:ascii="仿宋" w:hAnsi="仿宋" w:eastAsia="仿宋" w:cs="仿宋"/>
          <w:color w:val="000000" w:themeColor="text1"/>
          <w:szCs w:val="28"/>
          <w:lang w:eastAsia="zh-CN"/>
          <w14:textFill>
            <w14:solidFill>
              <w14:schemeClr w14:val="tx1"/>
            </w14:solidFill>
          </w14:textFill>
        </w:rPr>
        <w:t>资助</w:t>
      </w:r>
      <w:r>
        <w:rPr>
          <w:rFonts w:hint="eastAsia" w:ascii="仿宋" w:hAnsi="仿宋" w:eastAsia="仿宋" w:cs="仿宋"/>
          <w:color w:val="000000" w:themeColor="text1"/>
          <w:szCs w:val="28"/>
          <w14:textFill>
            <w14:solidFill>
              <w14:schemeClr w14:val="tx1"/>
            </w14:solidFill>
          </w14:textFill>
        </w:rPr>
        <w:t>资金</w:t>
      </w:r>
      <w:r>
        <w:rPr>
          <w:rFonts w:hint="eastAsia" w:ascii="仿宋" w:hAnsi="仿宋" w:eastAsia="仿宋" w:cs="仿宋"/>
          <w:color w:val="000000" w:themeColor="text1"/>
          <w:szCs w:val="28"/>
          <w:lang w:eastAsia="zh-CN"/>
          <w14:textFill>
            <w14:solidFill>
              <w14:schemeClr w14:val="tx1"/>
            </w14:solidFill>
          </w14:textFill>
        </w:rPr>
        <w:t>和本级资助资金</w:t>
      </w:r>
      <w:r>
        <w:rPr>
          <w:rFonts w:hint="eastAsia" w:ascii="仿宋" w:hAnsi="仿宋" w:eastAsia="仿宋" w:cs="仿宋"/>
          <w:color w:val="000000" w:themeColor="text1"/>
          <w:szCs w:val="28"/>
          <w14:textFill>
            <w14:solidFill>
              <w14:schemeClr w14:val="tx1"/>
            </w14:solidFill>
          </w14:textFill>
        </w:rPr>
        <w:t>的预算</w:t>
      </w:r>
      <w:r>
        <w:rPr>
          <w:rFonts w:hint="eastAsia" w:ascii="仿宋" w:hAnsi="仿宋" w:eastAsia="仿宋" w:cs="仿宋"/>
          <w:color w:val="000000" w:themeColor="text1"/>
          <w:szCs w:val="28"/>
          <w:lang w:eastAsia="zh-CN"/>
          <w14:textFill>
            <w14:solidFill>
              <w14:schemeClr w14:val="tx1"/>
            </w14:solidFill>
          </w14:textFill>
        </w:rPr>
        <w:t>编制和预算</w:t>
      </w:r>
      <w:r>
        <w:rPr>
          <w:rFonts w:hint="eastAsia" w:ascii="仿宋" w:hAnsi="仿宋" w:eastAsia="仿宋" w:cs="仿宋"/>
          <w:color w:val="000000" w:themeColor="text1"/>
          <w:szCs w:val="28"/>
          <w14:textFill>
            <w14:solidFill>
              <w14:schemeClr w14:val="tx1"/>
            </w14:solidFill>
          </w14:textFill>
        </w:rPr>
        <w:t>执行、绩效目标监控、</w:t>
      </w:r>
      <w:r>
        <w:rPr>
          <w:rFonts w:hint="eastAsia" w:ascii="仿宋" w:hAnsi="仿宋" w:eastAsia="仿宋" w:cs="仿宋"/>
          <w:color w:val="000000" w:themeColor="text1"/>
          <w:szCs w:val="28"/>
          <w:lang w:eastAsia="zh-CN"/>
          <w14:textFill>
            <w14:solidFill>
              <w14:schemeClr w14:val="tx1"/>
            </w14:solidFill>
          </w14:textFill>
        </w:rPr>
        <w:t>资金监管和</w:t>
      </w:r>
      <w:r>
        <w:rPr>
          <w:rFonts w:hint="eastAsia" w:ascii="仿宋" w:hAnsi="仿宋" w:eastAsia="仿宋" w:cs="仿宋"/>
          <w:color w:val="000000" w:themeColor="text1"/>
          <w:szCs w:val="28"/>
          <w14:textFill>
            <w14:solidFill>
              <w14:schemeClr w14:val="tx1"/>
            </w14:solidFill>
          </w14:textFill>
        </w:rPr>
        <w:t>任务清单实施的主体责任，确保完成省教育厅、省人力资源社会保障厅下达的任务清单和绩效目标；</w:t>
      </w:r>
      <w:r>
        <w:rPr>
          <w:rFonts w:hint="eastAsia" w:ascii="仿宋" w:hAnsi="仿宋" w:eastAsia="仿宋" w:cs="仿宋"/>
          <w:color w:val="000000" w:themeColor="text1"/>
          <w:szCs w:val="28"/>
          <w:lang w:eastAsia="zh-CN"/>
          <w14:textFill>
            <w14:solidFill>
              <w14:schemeClr w14:val="tx1"/>
            </w14:solidFill>
          </w14:textFill>
        </w:rPr>
        <w:t>制定资金安排计划和具体使用方案，按程序报批后送财政部门办理拨款手续，</w:t>
      </w:r>
      <w:r>
        <w:rPr>
          <w:rFonts w:hint="eastAsia" w:ascii="仿宋" w:hAnsi="仿宋" w:eastAsia="仿宋" w:cs="仿宋"/>
          <w:color w:val="000000" w:themeColor="text1"/>
          <w:szCs w:val="28"/>
          <w14:textFill>
            <w14:solidFill>
              <w14:schemeClr w14:val="tx1"/>
            </w14:solidFill>
          </w14:textFill>
        </w:rPr>
        <w:t>负责组织项目实施和监管，审核</w:t>
      </w:r>
      <w:r>
        <w:rPr>
          <w:rFonts w:hint="eastAsia" w:ascii="仿宋" w:hAnsi="仿宋" w:eastAsia="仿宋" w:cs="仿宋"/>
          <w:color w:val="000000" w:themeColor="text1"/>
          <w:szCs w:val="28"/>
          <w:lang w:eastAsia="zh-CN"/>
          <w14:textFill>
            <w14:solidFill>
              <w14:schemeClr w14:val="tx1"/>
            </w14:solidFill>
          </w14:textFill>
        </w:rPr>
        <w:t>学校</w:t>
      </w:r>
      <w:r>
        <w:rPr>
          <w:rFonts w:hint="eastAsia" w:ascii="仿宋" w:hAnsi="仿宋" w:eastAsia="仿宋" w:cs="仿宋"/>
          <w:color w:val="000000" w:themeColor="text1"/>
          <w:szCs w:val="28"/>
          <w14:textFill>
            <w14:solidFill>
              <w14:schemeClr w14:val="tx1"/>
            </w14:solidFill>
          </w14:textFill>
        </w:rPr>
        <w:t>报送材料</w:t>
      </w:r>
      <w:r>
        <w:rPr>
          <w:rFonts w:hint="eastAsia" w:ascii="仿宋" w:hAnsi="仿宋" w:eastAsia="仿宋" w:cs="仿宋"/>
          <w:color w:val="000000" w:themeColor="text1"/>
          <w:szCs w:val="28"/>
          <w:lang w:eastAsia="zh-CN"/>
          <w14:textFill>
            <w14:solidFill>
              <w14:schemeClr w14:val="tx1"/>
            </w14:solidFill>
          </w14:textFill>
        </w:rPr>
        <w:t>。负责组织所属学校审核上报享受资助政策的学生人数、资助范围、资助标准等基础数据，提出预算分配建议方案，负责完善学生信息管理系统，加强学生学籍和资助信息管理，对提供的基础数据和预算分配建议方案真实性、准确性、及时性负责。</w:t>
      </w:r>
      <w:r>
        <w:rPr>
          <w:rFonts w:hint="eastAsia" w:ascii="仿宋" w:hAnsi="仿宋" w:eastAsia="仿宋" w:cs="仿宋"/>
          <w:color w:val="000000" w:themeColor="text1"/>
          <w:szCs w:val="28"/>
          <w14:textFill>
            <w14:solidFill>
              <w14:schemeClr w14:val="tx1"/>
            </w14:solidFill>
          </w14:textFill>
        </w:rPr>
        <w:t>对所属学校学生资助信息、资助资金使用管理进行指导，加强资金管理，做好信息公开、绩效自评、项目验收考评等工作；接受省级监督检查和绩效评价。</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学校</w:t>
      </w:r>
      <w:r>
        <w:rPr>
          <w:rFonts w:hint="eastAsia" w:ascii="仿宋" w:hAnsi="仿宋" w:eastAsia="仿宋" w:cs="仿宋"/>
          <w:color w:val="000000" w:themeColor="text1"/>
          <w:szCs w:val="28"/>
          <w:lang w:eastAsia="zh-CN"/>
          <w14:textFill>
            <w14:solidFill>
              <w14:schemeClr w14:val="tx1"/>
            </w14:solidFill>
          </w14:textFill>
        </w:rPr>
        <w:t>职责：</w:t>
      </w:r>
      <w:r>
        <w:rPr>
          <w:rFonts w:hint="eastAsia" w:ascii="仿宋" w:hAnsi="仿宋" w:eastAsia="仿宋" w:cs="仿宋"/>
          <w:color w:val="000000" w:themeColor="text1"/>
          <w:szCs w:val="28"/>
          <w14:textFill>
            <w14:solidFill>
              <w14:schemeClr w14:val="tx1"/>
            </w14:solidFill>
          </w14:textFill>
        </w:rPr>
        <w:t>对项目实施和资金使用负责，负责建立健全校内学生资助管理制度，制定校内奖助学金等学生资助资金实施办法，承担学校学生资助宣传、申请、评审（认定）、公示、资助资金发放和资助学生数据信息管理等工作，负责上报学校享受资助政策的学生人数、资助范围、资助标准等基础数据，完善学生信息管理系统，加强学生学籍和资助信息管理，对提供的基础数据的真实性、准确性、及时性负责，定期公布资助资金的使用情况，加强财务管理，接受验收考评、监督检查和绩效评价。</w:t>
      </w:r>
    </w:p>
    <w:p>
      <w:pPr>
        <w:topLinePunct/>
        <w:snapToGrid/>
        <w:spacing w:beforeLines="100" w:afterLines="100" w:line="578" w:lineRule="exact"/>
        <w:jc w:val="center"/>
        <w:rPr>
          <w:rFonts w:ascii="Times New Roman" w:hAnsi="Times New Roman" w:eastAsia="黑体"/>
          <w:color w:val="000000" w:themeColor="text1"/>
          <w14:textFill>
            <w14:solidFill>
              <w14:schemeClr w14:val="tx1"/>
            </w14:solidFill>
          </w14:textFill>
        </w:rPr>
      </w:pPr>
      <w:r>
        <w:rPr>
          <w:rFonts w:hint="eastAsia" w:ascii="Times New Roman" w:hAnsi="Times New Roman" w:eastAsia="黑体"/>
          <w:color w:val="000000" w:themeColor="text1"/>
          <w14:textFill>
            <w14:solidFill>
              <w14:schemeClr w14:val="tx1"/>
            </w14:solidFill>
          </w14:textFill>
        </w:rPr>
        <w:t>第二章</w:t>
      </w:r>
      <w:r>
        <w:rPr>
          <w:rFonts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14:textFill>
            <w14:solidFill>
              <w14:schemeClr w14:val="tx1"/>
            </w14:solidFill>
          </w14:textFill>
        </w:rPr>
        <w:t>资助范围和标准</w:t>
      </w:r>
    </w:p>
    <w:p>
      <w:pPr>
        <w:topLinePunct/>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 xml:space="preserve">第五条 </w:t>
      </w:r>
      <w:r>
        <w:rPr>
          <w:rFonts w:hint="eastAsia" w:ascii="仿宋" w:hAnsi="仿宋" w:eastAsia="仿宋" w:cs="仿宋"/>
          <w:color w:val="000000" w:themeColor="text1"/>
          <w14:textFill>
            <w14:solidFill>
              <w14:schemeClr w14:val="tx1"/>
            </w14:solidFill>
          </w14:textFill>
        </w:rPr>
        <w:t>普通高校资助范围及标准</w:t>
      </w:r>
      <w:r>
        <w:rPr>
          <w:rFonts w:hint="eastAsia" w:ascii="仿宋" w:hAnsi="仿宋" w:eastAsia="仿宋" w:cs="仿宋"/>
          <w:color w:val="000000" w:themeColor="text1"/>
          <w:lang w:eastAsia="zh-CN"/>
          <w14:textFill>
            <w14:solidFill>
              <w14:schemeClr w14:val="tx1"/>
            </w14:solidFill>
          </w14:textFill>
        </w:rPr>
        <w:t>包括</w:t>
      </w:r>
      <w:r>
        <w:rPr>
          <w:rFonts w:hint="eastAsia" w:ascii="仿宋" w:hAnsi="仿宋" w:eastAsia="仿宋" w:cs="仿宋"/>
          <w:color w:val="000000" w:themeColor="text1"/>
          <w14:textFill>
            <w14:solidFill>
              <w14:schemeClr w14:val="tx1"/>
            </w14:solidFill>
          </w14:textFill>
        </w:rPr>
        <w:t>：</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（一）本专科生国家奖学金。奖励特别优秀的全日制本专科生，全省每年奖励名额根据国家分配情况确定，每生每年8000元。</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（二）本专科生国家励志奖学金。奖励资助品学兼优的家庭经济困难的全日制本专科生，</w:t>
      </w:r>
      <w:r>
        <w:rPr>
          <w:rFonts w:hint="eastAsia" w:ascii="仿宋" w:hAnsi="仿宋" w:eastAsia="仿宋" w:cs="仿宋"/>
          <w:color w:val="000000" w:themeColor="text1"/>
          <w:lang w:eastAsia="zh-CN"/>
          <w14:textFill>
            <w14:solidFill>
              <w14:schemeClr w14:val="tx1"/>
            </w14:solidFill>
          </w14:textFill>
        </w:rPr>
        <w:t>本科生</w:t>
      </w:r>
      <w:r>
        <w:rPr>
          <w:rFonts w:hint="eastAsia" w:ascii="仿宋" w:hAnsi="仿宋" w:eastAsia="仿宋" w:cs="仿宋"/>
          <w:color w:val="000000" w:themeColor="text1"/>
          <w14:textFill>
            <w14:solidFill>
              <w14:schemeClr w14:val="tx1"/>
            </w14:solidFill>
          </w14:textFill>
        </w:rPr>
        <w:t>资助</w:t>
      </w:r>
      <w:r>
        <w:rPr>
          <w:rFonts w:hint="eastAsia" w:ascii="仿宋" w:hAnsi="仿宋" w:eastAsia="仿宋" w:cs="仿宋"/>
          <w:color w:val="000000" w:themeColor="text1"/>
          <w:lang w:eastAsia="zh-CN"/>
          <w14:textFill>
            <w14:solidFill>
              <w14:schemeClr w14:val="tx1"/>
            </w14:solidFill>
          </w14:textFill>
        </w:rPr>
        <w:t>范围</w:t>
      </w:r>
      <w:r>
        <w:rPr>
          <w:rFonts w:hint="eastAsia" w:ascii="仿宋" w:hAnsi="仿宋" w:eastAsia="仿宋" w:cs="仿宋"/>
          <w:color w:val="000000" w:themeColor="text1"/>
          <w14:textFill>
            <w14:solidFill>
              <w14:schemeClr w14:val="tx1"/>
            </w14:solidFill>
          </w14:textFill>
        </w:rPr>
        <w:t>约为全省普通高校全日制本科在校生总数</w:t>
      </w:r>
      <w:r>
        <w:rPr>
          <w:rFonts w:hint="eastAsia" w:ascii="仿宋" w:hAnsi="仿宋" w:eastAsia="仿宋" w:cs="仿宋"/>
          <w:color w:val="000000" w:themeColor="text1"/>
          <w:lang w:eastAsia="zh-CN"/>
          <w14:textFill>
            <w14:solidFill>
              <w14:schemeClr w14:val="tx1"/>
            </w14:solidFill>
          </w14:textFill>
        </w:rPr>
        <w:t>的</w:t>
      </w:r>
      <w:r>
        <w:rPr>
          <w:rFonts w:hint="eastAsia" w:ascii="仿宋" w:hAnsi="仿宋" w:eastAsia="仿宋" w:cs="仿宋"/>
          <w:color w:val="000000" w:themeColor="text1"/>
          <w14:textFill>
            <w14:solidFill>
              <w14:schemeClr w14:val="tx1"/>
            </w14:solidFill>
          </w14:textFill>
        </w:rPr>
        <w:t>3%、</w:t>
      </w:r>
      <w:r>
        <w:rPr>
          <w:rFonts w:hint="eastAsia" w:ascii="仿宋" w:hAnsi="仿宋" w:eastAsia="仿宋" w:cs="仿宋"/>
          <w:color w:val="000000" w:themeColor="text1"/>
          <w:lang w:eastAsia="zh-CN"/>
          <w14:textFill>
            <w14:solidFill>
              <w14:schemeClr w14:val="tx1"/>
            </w14:solidFill>
          </w14:textFill>
        </w:rPr>
        <w:t>高职学生</w:t>
      </w:r>
      <w:r>
        <w:rPr>
          <w:rFonts w:hint="eastAsia" w:ascii="仿宋" w:hAnsi="仿宋" w:eastAsia="仿宋" w:cs="仿宋"/>
          <w:color w:val="000000" w:themeColor="text1"/>
          <w14:textFill>
            <w14:solidFill>
              <w14:schemeClr w14:val="tx1"/>
            </w14:solidFill>
          </w14:textFill>
        </w:rPr>
        <w:t>资助</w:t>
      </w:r>
      <w:r>
        <w:rPr>
          <w:rFonts w:hint="eastAsia" w:ascii="仿宋" w:hAnsi="仿宋" w:eastAsia="仿宋" w:cs="仿宋"/>
          <w:color w:val="000000" w:themeColor="text1"/>
          <w:lang w:eastAsia="zh-CN"/>
          <w14:textFill>
            <w14:solidFill>
              <w14:schemeClr w14:val="tx1"/>
            </w14:solidFill>
          </w14:textFill>
        </w:rPr>
        <w:t>范围</w:t>
      </w:r>
      <w:r>
        <w:rPr>
          <w:rFonts w:hint="eastAsia" w:ascii="仿宋" w:hAnsi="仿宋" w:eastAsia="仿宋" w:cs="仿宋"/>
          <w:color w:val="000000" w:themeColor="text1"/>
          <w14:textFill>
            <w14:solidFill>
              <w14:schemeClr w14:val="tx1"/>
            </w14:solidFill>
          </w14:textFill>
        </w:rPr>
        <w:t>约为全省普通高校全日制</w:t>
      </w:r>
      <w:r>
        <w:rPr>
          <w:rFonts w:hint="eastAsia" w:ascii="仿宋" w:hAnsi="仿宋" w:eastAsia="仿宋" w:cs="仿宋"/>
          <w:color w:val="000000" w:themeColor="text1"/>
          <w:lang w:eastAsia="zh-CN"/>
          <w14:textFill>
            <w14:solidFill>
              <w14:schemeClr w14:val="tx1"/>
            </w14:solidFill>
          </w14:textFill>
        </w:rPr>
        <w:t>高职</w:t>
      </w:r>
      <w:r>
        <w:rPr>
          <w:rFonts w:hint="eastAsia" w:ascii="仿宋" w:hAnsi="仿宋" w:eastAsia="仿宋" w:cs="仿宋"/>
          <w:color w:val="000000" w:themeColor="text1"/>
          <w14:textFill>
            <w14:solidFill>
              <w14:schemeClr w14:val="tx1"/>
            </w14:solidFill>
          </w14:textFill>
        </w:rPr>
        <w:t>在校生总数</w:t>
      </w:r>
      <w:r>
        <w:rPr>
          <w:rFonts w:hint="eastAsia" w:ascii="仿宋" w:hAnsi="仿宋" w:eastAsia="仿宋" w:cs="仿宋"/>
          <w:color w:val="000000" w:themeColor="text1"/>
          <w:lang w:eastAsia="zh-CN"/>
          <w14:textFill>
            <w14:solidFill>
              <w14:schemeClr w14:val="tx1"/>
            </w14:solidFill>
          </w14:textFill>
        </w:rPr>
        <w:t>的</w:t>
      </w:r>
      <w:r>
        <w:rPr>
          <w:rFonts w:hint="eastAsia" w:ascii="仿宋" w:hAnsi="仿宋" w:eastAsia="仿宋" w:cs="仿宋"/>
          <w:color w:val="000000" w:themeColor="text1"/>
          <w14:textFill>
            <w14:solidFill>
              <w14:schemeClr w14:val="tx1"/>
            </w14:solidFill>
          </w14:textFill>
        </w:rPr>
        <w:t>3.3%，每生每年5000元。</w:t>
      </w:r>
    </w:p>
    <w:p>
      <w:pPr>
        <w:topLinePunct/>
        <w:snapToGrid/>
        <w:spacing w:line="578" w:lineRule="exact"/>
        <w:ind w:firstLine="640" w:firstLineChars="20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（三）本专科生国家助学金。资助家庭经济困难的全日制本专科生（含预科生</w:t>
      </w:r>
      <w:r>
        <w:rPr>
          <w:rFonts w:hint="eastAsia" w:ascii="仿宋" w:hAnsi="仿宋" w:eastAsia="仿宋" w:cs="仿宋"/>
          <w:color w:val="000000" w:themeColor="text1"/>
          <w:lang w:eastAsia="zh-CN"/>
          <w14:textFill>
            <w14:solidFill>
              <w14:schemeClr w14:val="tx1"/>
            </w14:solidFill>
          </w14:textFill>
        </w:rPr>
        <w:t>，不含退役士兵学生</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eastAsia="zh-CN"/>
          <w14:textFill>
            <w14:solidFill>
              <w14:schemeClr w14:val="tx1"/>
            </w14:solidFill>
          </w14:textFill>
        </w:rPr>
        <w:t>本科生</w:t>
      </w:r>
      <w:r>
        <w:rPr>
          <w:rFonts w:hint="eastAsia" w:ascii="仿宋" w:hAnsi="仿宋" w:eastAsia="仿宋" w:cs="仿宋"/>
          <w:color w:val="000000" w:themeColor="text1"/>
          <w14:textFill>
            <w14:solidFill>
              <w14:schemeClr w14:val="tx1"/>
            </w14:solidFill>
          </w14:textFill>
        </w:rPr>
        <w:t>资助</w:t>
      </w:r>
      <w:r>
        <w:rPr>
          <w:rFonts w:hint="eastAsia" w:ascii="仿宋" w:hAnsi="仿宋" w:eastAsia="仿宋" w:cs="仿宋"/>
          <w:color w:val="000000" w:themeColor="text1"/>
          <w:lang w:eastAsia="zh-CN"/>
          <w14:textFill>
            <w14:solidFill>
              <w14:schemeClr w14:val="tx1"/>
            </w14:solidFill>
          </w14:textFill>
        </w:rPr>
        <w:t>范围</w:t>
      </w:r>
      <w:r>
        <w:rPr>
          <w:rFonts w:hint="eastAsia" w:ascii="仿宋" w:hAnsi="仿宋" w:eastAsia="仿宋" w:cs="仿宋"/>
          <w:color w:val="000000" w:themeColor="text1"/>
          <w14:textFill>
            <w14:solidFill>
              <w14:schemeClr w14:val="tx1"/>
            </w14:solidFill>
          </w14:textFill>
        </w:rPr>
        <w:t>约为全省普通高校全日制本科在校生总数</w:t>
      </w:r>
      <w:r>
        <w:rPr>
          <w:rFonts w:hint="eastAsia" w:ascii="仿宋" w:hAnsi="仿宋" w:eastAsia="仿宋" w:cs="仿宋"/>
          <w:color w:val="000000" w:themeColor="text1"/>
          <w:lang w:eastAsia="zh-CN"/>
          <w14:textFill>
            <w14:solidFill>
              <w14:schemeClr w14:val="tx1"/>
            </w14:solidFill>
          </w14:textFill>
        </w:rPr>
        <w:t>的</w:t>
      </w:r>
      <w:r>
        <w:rPr>
          <w:rFonts w:hint="eastAsia" w:ascii="仿宋" w:hAnsi="仿宋" w:eastAsia="仿宋" w:cs="仿宋"/>
          <w:color w:val="000000" w:themeColor="text1"/>
          <w:lang w:val="en-US" w:eastAsia="zh-CN"/>
          <w14:textFill>
            <w14:solidFill>
              <w14:schemeClr w14:val="tx1"/>
            </w14:solidFill>
          </w14:textFill>
        </w:rPr>
        <w:t>20</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eastAsia="zh-CN"/>
          <w14:textFill>
            <w14:solidFill>
              <w14:schemeClr w14:val="tx1"/>
            </w14:solidFill>
          </w14:textFill>
        </w:rPr>
        <w:t>高职学生</w:t>
      </w:r>
      <w:r>
        <w:rPr>
          <w:rFonts w:hint="eastAsia" w:ascii="仿宋" w:hAnsi="仿宋" w:eastAsia="仿宋" w:cs="仿宋"/>
          <w:color w:val="000000" w:themeColor="text1"/>
          <w14:textFill>
            <w14:solidFill>
              <w14:schemeClr w14:val="tx1"/>
            </w14:solidFill>
          </w14:textFill>
        </w:rPr>
        <w:t>资助</w:t>
      </w:r>
      <w:r>
        <w:rPr>
          <w:rFonts w:hint="eastAsia" w:ascii="仿宋" w:hAnsi="仿宋" w:eastAsia="仿宋" w:cs="仿宋"/>
          <w:color w:val="000000" w:themeColor="text1"/>
          <w:lang w:eastAsia="zh-CN"/>
          <w14:textFill>
            <w14:solidFill>
              <w14:schemeClr w14:val="tx1"/>
            </w14:solidFill>
          </w14:textFill>
        </w:rPr>
        <w:t>范围</w:t>
      </w:r>
      <w:r>
        <w:rPr>
          <w:rFonts w:hint="eastAsia" w:ascii="仿宋" w:hAnsi="仿宋" w:eastAsia="仿宋" w:cs="仿宋"/>
          <w:color w:val="000000" w:themeColor="text1"/>
          <w14:textFill>
            <w14:solidFill>
              <w14:schemeClr w14:val="tx1"/>
            </w14:solidFill>
          </w14:textFill>
        </w:rPr>
        <w:t>约为全省普通高校全日制</w:t>
      </w:r>
      <w:r>
        <w:rPr>
          <w:rFonts w:hint="eastAsia" w:ascii="仿宋" w:hAnsi="仿宋" w:eastAsia="仿宋" w:cs="仿宋"/>
          <w:color w:val="000000" w:themeColor="text1"/>
          <w:lang w:eastAsia="zh-CN"/>
          <w14:textFill>
            <w14:solidFill>
              <w14:schemeClr w14:val="tx1"/>
            </w14:solidFill>
          </w14:textFill>
        </w:rPr>
        <w:t>高职</w:t>
      </w:r>
      <w:r>
        <w:rPr>
          <w:rFonts w:hint="eastAsia" w:ascii="仿宋" w:hAnsi="仿宋" w:eastAsia="仿宋" w:cs="仿宋"/>
          <w:color w:val="000000" w:themeColor="text1"/>
          <w14:textFill>
            <w14:solidFill>
              <w14:schemeClr w14:val="tx1"/>
            </w14:solidFill>
          </w14:textFill>
        </w:rPr>
        <w:t>在校生总数</w:t>
      </w:r>
      <w:r>
        <w:rPr>
          <w:rFonts w:hint="eastAsia" w:ascii="仿宋" w:hAnsi="仿宋" w:eastAsia="仿宋" w:cs="仿宋"/>
          <w:color w:val="000000" w:themeColor="text1"/>
          <w:lang w:eastAsia="zh-CN"/>
          <w14:textFill>
            <w14:solidFill>
              <w14:schemeClr w14:val="tx1"/>
            </w14:solidFill>
          </w14:textFill>
        </w:rPr>
        <w:t>的</w:t>
      </w:r>
      <w:r>
        <w:rPr>
          <w:rFonts w:hint="eastAsia" w:ascii="仿宋" w:hAnsi="仿宋" w:eastAsia="仿宋" w:cs="仿宋"/>
          <w:color w:val="000000" w:themeColor="text1"/>
          <w:lang w:val="en-US" w:eastAsia="zh-CN"/>
          <w14:textFill>
            <w14:solidFill>
              <w14:schemeClr w14:val="tx1"/>
            </w14:solidFill>
          </w14:textFill>
        </w:rPr>
        <w:t>22</w:t>
      </w:r>
      <w:r>
        <w:rPr>
          <w:rFonts w:hint="eastAsia" w:ascii="仿宋" w:hAnsi="仿宋" w:eastAsia="仿宋" w:cs="仿宋"/>
          <w:color w:val="000000" w:themeColor="text1"/>
          <w14:textFill>
            <w14:solidFill>
              <w14:schemeClr w14:val="tx1"/>
            </w14:solidFill>
          </w14:textFill>
        </w:rPr>
        <w:t>%，平均资助标准为每生每年3300元，具体分为两档，第一档标准为每生每年3800元，第二档标准为每生每年2800元。</w:t>
      </w:r>
      <w:r>
        <w:rPr>
          <w:rFonts w:hint="eastAsia" w:ascii="仿宋" w:hAnsi="仿宋" w:eastAsia="仿宋" w:cs="仿宋"/>
          <w:color w:val="000000" w:themeColor="text1"/>
          <w:lang w:eastAsia="zh-CN"/>
          <w14:textFill>
            <w14:solidFill>
              <w14:schemeClr w14:val="tx1"/>
            </w14:solidFill>
          </w14:textFill>
        </w:rPr>
        <w:t>全日制在校退役士兵学生全部享受本专科生国家助学金，</w:t>
      </w:r>
      <w:r>
        <w:rPr>
          <w:rFonts w:hint="eastAsia" w:ascii="仿宋" w:hAnsi="仿宋" w:eastAsia="仿宋" w:cs="仿宋"/>
          <w:color w:val="000000" w:themeColor="text1"/>
          <w14:textFill>
            <w14:solidFill>
              <w14:schemeClr w14:val="tx1"/>
            </w14:solidFill>
          </w14:textFill>
        </w:rPr>
        <w:t>资助标准为每生每年3300元</w:t>
      </w:r>
      <w:r>
        <w:rPr>
          <w:rFonts w:hint="eastAsia" w:ascii="仿宋" w:hAnsi="仿宋" w:eastAsia="仿宋" w:cs="仿宋"/>
          <w:color w:val="000000" w:themeColor="text1"/>
          <w:lang w:eastAsia="zh-CN"/>
          <w14:textFill>
            <w14:solidFill>
              <w14:schemeClr w14:val="tx1"/>
            </w14:solidFill>
          </w14:textFill>
        </w:rPr>
        <w:t>。</w:t>
      </w:r>
    </w:p>
    <w:p>
      <w:pPr>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（四）海南省优秀贫困大学生奖学金。奖励在海南省普通高等学校就读的家庭经济困难、品学兼优的全日制在校本专科学生，每年奖励750名优秀贫困学生，每生每年4000元。</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（五）研究生国家奖学金。奖励特别优秀的全日制研究生，全省每年奖励名额根据国家分配情况确定，硕士生每生每年2</w:t>
      </w:r>
      <w:r>
        <w:rPr>
          <w:rFonts w:hint="eastAsia" w:ascii="仿宋" w:hAnsi="仿宋" w:eastAsia="仿宋" w:cs="仿宋"/>
          <w:color w:val="000000" w:themeColor="text1"/>
          <w:lang w:val="en-US" w:eastAsia="zh-CN"/>
          <w14:textFill>
            <w14:solidFill>
              <w14:schemeClr w14:val="tx1"/>
            </w14:solidFill>
          </w14:textFill>
        </w:rPr>
        <w:t>0000</w:t>
      </w:r>
      <w:r>
        <w:rPr>
          <w:rFonts w:hint="eastAsia" w:ascii="仿宋" w:hAnsi="仿宋" w:eastAsia="仿宋" w:cs="仿宋"/>
          <w:color w:val="000000" w:themeColor="text1"/>
          <w14:textFill>
            <w14:solidFill>
              <w14:schemeClr w14:val="tx1"/>
            </w14:solidFill>
          </w14:textFill>
        </w:rPr>
        <w:t>元、博士生每生每年3</w:t>
      </w:r>
      <w:r>
        <w:rPr>
          <w:rFonts w:hint="eastAsia" w:ascii="仿宋" w:hAnsi="仿宋" w:eastAsia="仿宋" w:cs="仿宋"/>
          <w:color w:val="000000" w:themeColor="text1"/>
          <w:lang w:val="en-US" w:eastAsia="zh-CN"/>
          <w14:textFill>
            <w14:solidFill>
              <w14:schemeClr w14:val="tx1"/>
            </w14:solidFill>
          </w14:textFill>
        </w:rPr>
        <w:t>0000</w:t>
      </w:r>
      <w:r>
        <w:rPr>
          <w:rFonts w:hint="eastAsia" w:ascii="仿宋" w:hAnsi="仿宋" w:eastAsia="仿宋" w:cs="仿宋"/>
          <w:color w:val="000000" w:themeColor="text1"/>
          <w14:textFill>
            <w14:solidFill>
              <w14:schemeClr w14:val="tx1"/>
            </w14:solidFill>
          </w14:textFill>
        </w:rPr>
        <w:t>元。</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（六）研究生学业奖学金。按在校生的一定比例奖励全日制研究生，硕士研究生每生每年8000元、博士研究生每生每年10000元。</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（七）研究生国家助学金。资助全日制研究生的基本生活支出，硕士研究生每生每年6000元，博士研究生每生每年13000元。</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（八）服兵役高等学校学生国家教育资助。对应征入伍服义务兵役、招收为士官、退役后复学或入学的高等学校学生实行学费补偿、国家助学贷款代偿、学费减免。</w:t>
      </w:r>
      <w:r>
        <w:rPr>
          <w:rFonts w:hint="eastAsia" w:ascii="仿宋" w:hAnsi="仿宋" w:eastAsia="仿宋" w:cs="仿宋"/>
          <w:color w:val="000000" w:themeColor="text1"/>
          <w:szCs w:val="28"/>
          <w14:textFill>
            <w14:solidFill>
              <w14:schemeClr w14:val="tx1"/>
            </w14:solidFill>
          </w14:textFill>
        </w:rPr>
        <w:t>学费补偿或国家助学贷款代偿金额，按学生实际缴纳的学费或</w:t>
      </w:r>
      <w:r>
        <w:rPr>
          <w:rFonts w:hint="eastAsia" w:ascii="仿宋" w:hAnsi="仿宋" w:eastAsia="仿宋" w:cs="仿宋"/>
          <w:color w:val="000000" w:themeColor="text1"/>
          <w:szCs w:val="28"/>
          <w:lang w:eastAsia="zh-CN"/>
          <w14:textFill>
            <w14:solidFill>
              <w14:schemeClr w14:val="tx1"/>
            </w14:solidFill>
          </w14:textFill>
        </w:rPr>
        <w:t>用于学费</w:t>
      </w:r>
      <w:r>
        <w:rPr>
          <w:rFonts w:hint="eastAsia" w:ascii="仿宋" w:hAnsi="仿宋" w:eastAsia="仿宋" w:cs="仿宋"/>
          <w:color w:val="000000" w:themeColor="text1"/>
          <w:szCs w:val="28"/>
          <w14:textFill>
            <w14:solidFill>
              <w14:schemeClr w14:val="tx1"/>
            </w14:solidFill>
          </w14:textFill>
        </w:rPr>
        <w:t>的国家助学贷款（包括本金及其全部偿还之前产生的利息，下同）两者金额较高者执行；复学或新生入学后学费减免金额，按高等学校实际收取学费金额执行。</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学费补偿、国家助学贷款代偿以及学费减免的标准，本专科生每生每年最高不超过</w:t>
      </w:r>
      <w:r>
        <w:rPr>
          <w:rFonts w:hint="eastAsia" w:ascii="仿宋" w:hAnsi="仿宋" w:eastAsia="仿宋" w:cs="仿宋"/>
          <w:color w:val="000000" w:themeColor="text1"/>
          <w:szCs w:val="28"/>
          <w:lang w:val="en-US" w:eastAsia="zh-CN"/>
          <w14:textFill>
            <w14:solidFill>
              <w14:schemeClr w14:val="tx1"/>
            </w14:solidFill>
          </w14:textFill>
        </w:rPr>
        <w:t>16</w:t>
      </w:r>
      <w:r>
        <w:rPr>
          <w:rFonts w:hint="eastAsia" w:ascii="仿宋" w:hAnsi="仿宋" w:eastAsia="仿宋" w:cs="仿宋"/>
          <w:color w:val="000000" w:themeColor="text1"/>
          <w:szCs w:val="28"/>
          <w14:textFill>
            <w14:solidFill>
              <w14:schemeClr w14:val="tx1"/>
            </w14:solidFill>
          </w14:textFill>
        </w:rPr>
        <w:t>000元，研究生每生每年最高不超过</w:t>
      </w:r>
      <w:r>
        <w:rPr>
          <w:rFonts w:hint="eastAsia" w:ascii="仿宋" w:hAnsi="仿宋" w:eastAsia="仿宋" w:cs="仿宋"/>
          <w:color w:val="000000" w:themeColor="text1"/>
          <w:szCs w:val="28"/>
          <w:lang w:val="en-US" w:eastAsia="zh-CN"/>
          <w14:textFill>
            <w14:solidFill>
              <w14:schemeClr w14:val="tx1"/>
            </w14:solidFill>
          </w14:textFill>
        </w:rPr>
        <w:t>20</w:t>
      </w:r>
      <w:r>
        <w:rPr>
          <w:rFonts w:hint="eastAsia" w:ascii="仿宋" w:hAnsi="仿宋" w:eastAsia="仿宋" w:cs="仿宋"/>
          <w:color w:val="000000" w:themeColor="text1"/>
          <w:szCs w:val="28"/>
          <w14:textFill>
            <w14:solidFill>
              <w14:schemeClr w14:val="tx1"/>
            </w14:solidFill>
          </w14:textFill>
        </w:rPr>
        <w:t>000元。超出标准部分不予补偿、代偿或减免。</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（九）基层就业学费补偿国家助学贷款代偿。对自愿到海南省艰苦边远地区基层单位就业或创业、</w:t>
      </w:r>
      <w:r>
        <w:rPr>
          <w:rFonts w:hint="eastAsia" w:ascii="仿宋" w:hAnsi="仿宋" w:eastAsia="仿宋" w:cs="仿宋"/>
          <w:color w:val="000000" w:themeColor="text1"/>
          <w:szCs w:val="28"/>
          <w14:textFill>
            <w14:solidFill>
              <w14:schemeClr w14:val="tx1"/>
            </w14:solidFill>
          </w14:textFill>
        </w:rPr>
        <w:t>服务期或创业期在</w:t>
      </w:r>
      <w:r>
        <w:rPr>
          <w:rFonts w:hint="eastAsia" w:ascii="仿宋" w:hAnsi="仿宋" w:eastAsia="仿宋" w:cs="仿宋"/>
          <w:color w:val="000000" w:themeColor="text1"/>
          <w14:textFill>
            <w14:solidFill>
              <w14:schemeClr w14:val="tx1"/>
            </w14:solidFill>
          </w14:textFill>
        </w:rPr>
        <w:t>连续</w:t>
      </w:r>
      <w:r>
        <w:rPr>
          <w:rFonts w:hint="eastAsia" w:ascii="仿宋" w:hAnsi="仿宋" w:eastAsia="仿宋" w:cs="仿宋"/>
          <w:color w:val="000000" w:themeColor="text1"/>
          <w:szCs w:val="28"/>
          <w14:textFill>
            <w14:solidFill>
              <w14:schemeClr w14:val="tx1"/>
            </w14:solidFill>
          </w14:textFill>
        </w:rPr>
        <w:t>3年以上（含3年）的</w:t>
      </w:r>
      <w:r>
        <w:rPr>
          <w:rFonts w:hint="eastAsia" w:ascii="仿宋" w:hAnsi="仿宋" w:eastAsia="仿宋" w:cs="仿宋"/>
          <w:color w:val="000000" w:themeColor="text1"/>
          <w14:textFill>
            <w14:solidFill>
              <w14:schemeClr w14:val="tx1"/>
            </w14:solidFill>
          </w14:textFill>
        </w:rPr>
        <w:t>海南省所属普通高校的全日制应届毕业生实行学费补偿或国家助学贷款代偿，专科生（含高职学生）每生每年最高不超过3000元，本科生（含第二学士学位学生）每生每年最高不超过4000元，研究生每生每年最高不超过5000元。</w:t>
      </w:r>
      <w:r>
        <w:rPr>
          <w:rFonts w:hint="eastAsia" w:ascii="仿宋" w:hAnsi="仿宋" w:eastAsia="仿宋" w:cs="仿宋"/>
          <w:color w:val="000000" w:themeColor="text1"/>
          <w:szCs w:val="28"/>
          <w14:textFill>
            <w14:solidFill>
              <w14:schemeClr w14:val="tx1"/>
            </w14:solidFill>
          </w14:textFill>
        </w:rPr>
        <w:t>毕业生在校学习期间每年实际缴纳的学费或</w:t>
      </w:r>
      <w:r>
        <w:rPr>
          <w:rFonts w:hint="eastAsia" w:ascii="仿宋" w:hAnsi="仿宋" w:eastAsia="仿宋" w:cs="仿宋"/>
          <w:color w:val="000000" w:themeColor="text1"/>
          <w:szCs w:val="28"/>
          <w:lang w:eastAsia="zh-CN"/>
          <w14:textFill>
            <w14:solidFill>
              <w14:schemeClr w14:val="tx1"/>
            </w14:solidFill>
          </w14:textFill>
        </w:rPr>
        <w:t>用于学费</w:t>
      </w:r>
      <w:r>
        <w:rPr>
          <w:rFonts w:hint="eastAsia" w:ascii="仿宋" w:hAnsi="仿宋" w:eastAsia="仿宋" w:cs="仿宋"/>
          <w:color w:val="000000" w:themeColor="text1"/>
          <w:szCs w:val="28"/>
          <w14:textFill>
            <w14:solidFill>
              <w14:schemeClr w14:val="tx1"/>
            </w14:solidFill>
          </w14:textFill>
        </w:rPr>
        <w:t>的国家助学贷款低于补偿代偿标准的，按照实际缴纳的学费或</w:t>
      </w:r>
      <w:r>
        <w:rPr>
          <w:rFonts w:hint="eastAsia" w:ascii="仿宋" w:hAnsi="仿宋" w:eastAsia="仿宋" w:cs="仿宋"/>
          <w:color w:val="000000" w:themeColor="text1"/>
          <w:szCs w:val="28"/>
          <w:lang w:eastAsia="zh-CN"/>
          <w14:textFill>
            <w14:solidFill>
              <w14:schemeClr w14:val="tx1"/>
            </w14:solidFill>
          </w14:textFill>
        </w:rPr>
        <w:t>用于学费</w:t>
      </w:r>
      <w:r>
        <w:rPr>
          <w:rFonts w:hint="eastAsia" w:ascii="仿宋" w:hAnsi="仿宋" w:eastAsia="仿宋" w:cs="仿宋"/>
          <w:color w:val="000000" w:themeColor="text1"/>
          <w:szCs w:val="28"/>
          <w14:textFill>
            <w14:solidFill>
              <w14:schemeClr w14:val="tx1"/>
            </w14:solidFill>
          </w14:textFill>
        </w:rPr>
        <w:t>的国家助学贷款金额实行补偿代偿。毕业生在校学习期间每年实际缴纳的学费或</w:t>
      </w:r>
      <w:r>
        <w:rPr>
          <w:rFonts w:hint="eastAsia" w:ascii="仿宋" w:hAnsi="仿宋" w:eastAsia="仿宋" w:cs="仿宋"/>
          <w:color w:val="000000" w:themeColor="text1"/>
          <w:szCs w:val="28"/>
          <w:lang w:eastAsia="zh-CN"/>
          <w14:textFill>
            <w14:solidFill>
              <w14:schemeClr w14:val="tx1"/>
            </w14:solidFill>
          </w14:textFill>
        </w:rPr>
        <w:t>用于学费</w:t>
      </w:r>
      <w:r>
        <w:rPr>
          <w:rFonts w:hint="eastAsia" w:ascii="仿宋" w:hAnsi="仿宋" w:eastAsia="仿宋" w:cs="仿宋"/>
          <w:color w:val="000000" w:themeColor="text1"/>
          <w:szCs w:val="28"/>
          <w14:textFill>
            <w14:solidFill>
              <w14:schemeClr w14:val="tx1"/>
            </w14:solidFill>
          </w14:textFill>
        </w:rPr>
        <w:t>的国家助学贷款</w:t>
      </w:r>
      <w:r>
        <w:rPr>
          <w:rFonts w:hint="eastAsia" w:ascii="仿宋" w:hAnsi="仿宋" w:eastAsia="仿宋" w:cs="仿宋"/>
          <w:color w:val="000000" w:themeColor="text1"/>
          <w:szCs w:val="28"/>
          <w:lang w:eastAsia="zh-CN"/>
          <w14:textFill>
            <w14:solidFill>
              <w14:schemeClr w14:val="tx1"/>
            </w14:solidFill>
          </w14:textFill>
        </w:rPr>
        <w:t>高</w:t>
      </w:r>
      <w:r>
        <w:rPr>
          <w:rFonts w:hint="eastAsia" w:ascii="仿宋" w:hAnsi="仿宋" w:eastAsia="仿宋" w:cs="仿宋"/>
          <w:color w:val="000000" w:themeColor="text1"/>
          <w:szCs w:val="28"/>
          <w14:textFill>
            <w14:solidFill>
              <w14:schemeClr w14:val="tx1"/>
            </w14:solidFill>
          </w14:textFill>
        </w:rPr>
        <w:t>于补偿代偿标准的，按照</w:t>
      </w:r>
      <w:r>
        <w:rPr>
          <w:rFonts w:hint="eastAsia" w:ascii="仿宋" w:hAnsi="仿宋" w:eastAsia="仿宋" w:cs="仿宋"/>
          <w:color w:val="000000" w:themeColor="text1"/>
          <w:szCs w:val="28"/>
          <w:lang w:eastAsia="zh-CN"/>
          <w14:textFill>
            <w14:solidFill>
              <w14:schemeClr w14:val="tx1"/>
            </w14:solidFill>
          </w14:textFill>
        </w:rPr>
        <w:t>标准</w:t>
      </w:r>
      <w:r>
        <w:rPr>
          <w:rFonts w:hint="eastAsia" w:ascii="仿宋" w:hAnsi="仿宋" w:eastAsia="仿宋" w:cs="仿宋"/>
          <w:color w:val="000000" w:themeColor="text1"/>
          <w:szCs w:val="28"/>
          <w14:textFill>
            <w14:solidFill>
              <w14:schemeClr w14:val="tx1"/>
            </w14:solidFill>
          </w14:textFill>
        </w:rPr>
        <w:t>实行补偿代偿。</w:t>
      </w:r>
    </w:p>
    <w:p>
      <w:pPr>
        <w:pStyle w:val="8"/>
        <w:widowControl w:val="0"/>
        <w:adjustRightInd w:val="0"/>
        <w:spacing w:before="0" w:beforeAutospacing="0" w:after="0" w:afterAutospacing="0" w:line="578" w:lineRule="exact"/>
        <w:ind w:firstLine="642"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 xml:space="preserve">第六条 </w:t>
      </w:r>
      <w:r>
        <w:rPr>
          <w:rFonts w:hint="eastAsia" w:ascii="仿宋" w:hAnsi="仿宋" w:eastAsia="仿宋" w:cs="仿宋"/>
          <w:color w:val="000000" w:themeColor="text1"/>
          <w:kern w:val="2"/>
          <w:sz w:val="32"/>
          <w:szCs w:val="22"/>
          <w14:textFill>
            <w14:solidFill>
              <w14:schemeClr w14:val="tx1"/>
            </w14:solidFill>
          </w14:textFill>
        </w:rPr>
        <w:t>国家助学贷款奖补资金。全部用于海南省普通高校全日制学生的</w:t>
      </w:r>
      <w:r>
        <w:rPr>
          <w:rFonts w:hint="eastAsia" w:ascii="仿宋" w:hAnsi="仿宋" w:eastAsia="仿宋" w:cs="仿宋"/>
          <w:color w:val="000000" w:themeColor="text1"/>
          <w:kern w:val="2"/>
          <w:sz w:val="32"/>
          <w:szCs w:val="22"/>
          <w:lang w:eastAsia="zh-CN"/>
          <w14:textFill>
            <w14:solidFill>
              <w14:schemeClr w14:val="tx1"/>
            </w14:solidFill>
          </w14:textFill>
        </w:rPr>
        <w:t>奖励和</w:t>
      </w:r>
      <w:r>
        <w:rPr>
          <w:rFonts w:hint="eastAsia" w:ascii="仿宋" w:hAnsi="仿宋" w:eastAsia="仿宋" w:cs="仿宋"/>
          <w:color w:val="000000" w:themeColor="text1"/>
          <w:kern w:val="2"/>
          <w:sz w:val="32"/>
          <w:szCs w:val="22"/>
          <w14:textFill>
            <w14:solidFill>
              <w14:schemeClr w14:val="tx1"/>
            </w14:solidFill>
          </w14:textFill>
        </w:rPr>
        <w:t>资助。</w:t>
      </w:r>
    </w:p>
    <w:p>
      <w:pPr>
        <w:topLinePunct/>
        <w:snapToGrid/>
        <w:spacing w:line="578" w:lineRule="exact"/>
        <w:ind w:firstLine="642" w:firstLineChars="200"/>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 xml:space="preserve">第七条 </w:t>
      </w:r>
      <w:r>
        <w:rPr>
          <w:rFonts w:hint="eastAsia" w:ascii="仿宋" w:hAnsi="仿宋" w:eastAsia="仿宋" w:cs="仿宋"/>
          <w:bCs/>
          <w:color w:val="000000" w:themeColor="text1"/>
          <w14:textFill>
            <w14:solidFill>
              <w14:schemeClr w14:val="tx1"/>
            </w14:solidFill>
          </w14:textFill>
        </w:rPr>
        <w:t>中等职业学校资助范围及标准:</w:t>
      </w:r>
    </w:p>
    <w:p>
      <w:pPr>
        <w:topLinePunct/>
        <w:snapToGrid/>
        <w:spacing w:line="578" w:lineRule="exact"/>
        <w:ind w:firstLine="640" w:firstLineChars="200"/>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w:t>
      </w:r>
      <w:r>
        <w:rPr>
          <w:rFonts w:hint="eastAsia" w:ascii="仿宋" w:hAnsi="仿宋" w:eastAsia="仿宋" w:cs="仿宋"/>
          <w:bCs/>
          <w:color w:val="000000" w:themeColor="text1"/>
          <w:lang w:eastAsia="zh-CN"/>
          <w14:textFill>
            <w14:solidFill>
              <w14:schemeClr w14:val="tx1"/>
            </w14:solidFill>
          </w14:textFill>
        </w:rPr>
        <w:t>一</w:t>
      </w:r>
      <w:r>
        <w:rPr>
          <w:rFonts w:hint="eastAsia" w:ascii="仿宋" w:hAnsi="仿宋" w:eastAsia="仿宋" w:cs="仿宋"/>
          <w:bCs/>
          <w:color w:val="000000" w:themeColor="text1"/>
          <w14:textFill>
            <w14:solidFill>
              <w14:schemeClr w14:val="tx1"/>
            </w14:solidFill>
          </w14:textFill>
        </w:rPr>
        <w:t>）国家奖学金。</w:t>
      </w:r>
      <w:r>
        <w:rPr>
          <w:rFonts w:hint="eastAsia" w:ascii="仿宋" w:hAnsi="仿宋" w:eastAsia="仿宋" w:cs="仿宋"/>
          <w:color w:val="000000" w:themeColor="text1"/>
          <w14:textFill>
            <w14:solidFill>
              <w14:schemeClr w14:val="tx1"/>
            </w14:solidFill>
          </w14:textFill>
        </w:rPr>
        <w:t>奖励</w:t>
      </w:r>
      <w:r>
        <w:rPr>
          <w:rFonts w:hint="eastAsia" w:ascii="仿宋" w:hAnsi="仿宋" w:eastAsia="仿宋" w:cs="仿宋"/>
          <w:color w:val="000000" w:themeColor="text1"/>
          <w:lang w:eastAsia="zh-CN"/>
          <w14:textFill>
            <w14:solidFill>
              <w14:schemeClr w14:val="tx1"/>
            </w14:solidFill>
          </w14:textFill>
        </w:rPr>
        <w:t>学习成绩、技能表现等方面</w:t>
      </w:r>
      <w:r>
        <w:rPr>
          <w:rFonts w:hint="eastAsia" w:ascii="仿宋" w:hAnsi="仿宋" w:eastAsia="仿宋" w:cs="仿宋"/>
          <w:color w:val="000000" w:themeColor="text1"/>
          <w14:textFill>
            <w14:solidFill>
              <w14:schemeClr w14:val="tx1"/>
            </w14:solidFill>
          </w14:textFill>
        </w:rPr>
        <w:t>特别优秀的中等职业学校全日制在校学生，全省每年奖励名额根据国家分配情况确定，每生每年6000元。</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eastAsia="zh-CN"/>
          <w14:textFill>
            <w14:solidFill>
              <w14:schemeClr w14:val="tx1"/>
            </w14:solidFill>
          </w14:textFill>
        </w:rPr>
        <w:t>二</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bCs/>
          <w:color w:val="000000" w:themeColor="text1"/>
          <w14:textFill>
            <w14:solidFill>
              <w14:schemeClr w14:val="tx1"/>
            </w14:solidFill>
          </w14:textFill>
        </w:rPr>
        <w:t>免学费、免住宿费和教材费。</w:t>
      </w:r>
      <w:r>
        <w:rPr>
          <w:rFonts w:hint="eastAsia" w:ascii="仿宋" w:hAnsi="仿宋" w:eastAsia="仿宋" w:cs="仿宋"/>
          <w:color w:val="000000" w:themeColor="text1"/>
          <w14:textFill>
            <w14:solidFill>
              <w14:schemeClr w14:val="tx1"/>
            </w14:solidFill>
          </w14:textFill>
        </w:rPr>
        <w:t>对</w:t>
      </w:r>
      <w:r>
        <w:rPr>
          <w:rFonts w:hint="eastAsia" w:ascii="仿宋" w:hAnsi="仿宋" w:eastAsia="仿宋" w:cs="仿宋"/>
          <w:color w:val="000000" w:themeColor="text1"/>
          <w:lang w:eastAsia="zh-CN"/>
          <w14:textFill>
            <w14:solidFill>
              <w14:schemeClr w14:val="tx1"/>
            </w14:solidFill>
          </w14:textFill>
        </w:rPr>
        <w:t>公办</w:t>
      </w:r>
      <w:r>
        <w:rPr>
          <w:rFonts w:hint="eastAsia" w:ascii="仿宋" w:hAnsi="仿宋" w:eastAsia="仿宋" w:cs="仿宋"/>
          <w:color w:val="000000" w:themeColor="text1"/>
          <w14:textFill>
            <w14:solidFill>
              <w14:schemeClr w14:val="tx1"/>
            </w14:solidFill>
          </w14:textFill>
        </w:rPr>
        <w:t>的中等职业学校全日制正式学籍一至六年级在校生全部免除学费，中等职业学校因免除学费导致的收入减少部分由财政按免学费标准给予补助。省属中等职业学校补助标准</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教育部门为：艺术类学校每人每年4000元，高职院校中专学生、卫生类学校每人每年2800元，其他学校每人每年2600元；人力资源和社会保障部门为：高级技工学校和技师学院每人每年3080元，省级重点技工学校每人每年2980元，普通技工学校每人每年2780元。市县所属中等职业学校补助标准由市县自行确定。</w:t>
      </w:r>
    </w:p>
    <w:p>
      <w:pPr>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对</w:t>
      </w:r>
      <w:r>
        <w:rPr>
          <w:rFonts w:hint="eastAsia" w:ascii="仿宋" w:hAnsi="仿宋" w:eastAsia="仿宋" w:cs="仿宋"/>
          <w:color w:val="000000" w:themeColor="text1"/>
          <w:lang w:eastAsia="zh-CN"/>
          <w14:textFill>
            <w14:solidFill>
              <w14:schemeClr w14:val="tx1"/>
            </w14:solidFill>
          </w14:textFill>
        </w:rPr>
        <w:t>公办</w:t>
      </w:r>
      <w:r>
        <w:rPr>
          <w:rFonts w:hint="eastAsia" w:ascii="仿宋" w:hAnsi="仿宋" w:eastAsia="仿宋" w:cs="仿宋"/>
          <w:color w:val="000000" w:themeColor="text1"/>
          <w14:textFill>
            <w14:solidFill>
              <w14:schemeClr w14:val="tx1"/>
            </w14:solidFill>
          </w14:textFill>
        </w:rPr>
        <w:t>中等职业学校全日制正式学籍涉农专业一、二年级在校学生免住宿费和教材费，省属中等职业学校按住宿费每生每年600元，教材费每生每年400元，即每生每年共1000元的标准给予补助；市县所属中等职业学校补助标准由市县自行确定并</w:t>
      </w:r>
      <w:r>
        <w:rPr>
          <w:rFonts w:hint="eastAsia" w:ascii="仿宋" w:hAnsi="仿宋" w:eastAsia="仿宋" w:cs="仿宋"/>
          <w:color w:val="000000" w:themeColor="text1"/>
          <w:lang w:eastAsia="zh-CN"/>
          <w14:textFill>
            <w14:solidFill>
              <w14:schemeClr w14:val="tx1"/>
            </w14:solidFill>
          </w14:textFill>
        </w:rPr>
        <w:t>由市县财政</w:t>
      </w:r>
      <w:r>
        <w:rPr>
          <w:rFonts w:hint="eastAsia" w:ascii="仿宋" w:hAnsi="仿宋" w:eastAsia="仿宋" w:cs="仿宋"/>
          <w:color w:val="000000" w:themeColor="text1"/>
          <w14:textFill>
            <w14:solidFill>
              <w14:schemeClr w14:val="tx1"/>
            </w14:solidFill>
          </w14:textFill>
        </w:rPr>
        <w:t>给予补助。</w:t>
      </w:r>
    </w:p>
    <w:p>
      <w:pPr>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对</w:t>
      </w:r>
      <w:r>
        <w:rPr>
          <w:rFonts w:hint="eastAsia" w:ascii="仿宋" w:hAnsi="仿宋" w:eastAsia="仿宋" w:cs="仿宋"/>
          <w:color w:val="000000" w:themeColor="text1"/>
          <w:lang w:eastAsia="zh-CN"/>
          <w14:textFill>
            <w14:solidFill>
              <w14:schemeClr w14:val="tx1"/>
            </w14:solidFill>
          </w14:textFill>
        </w:rPr>
        <w:t>公办</w:t>
      </w:r>
      <w:r>
        <w:rPr>
          <w:rFonts w:hint="eastAsia" w:ascii="仿宋" w:hAnsi="仿宋" w:eastAsia="仿宋" w:cs="仿宋"/>
          <w:color w:val="000000" w:themeColor="text1"/>
          <w14:textFill>
            <w14:solidFill>
              <w14:schemeClr w14:val="tx1"/>
            </w14:solidFill>
          </w14:textFill>
        </w:rPr>
        <w:t>中等职业学校全日制正式学籍非涉农专业一、二年级</w:t>
      </w:r>
      <w:r>
        <w:rPr>
          <w:rFonts w:hint="eastAsia" w:ascii="仿宋" w:hAnsi="仿宋" w:eastAsia="仿宋" w:cs="仿宋"/>
          <w:color w:val="000000" w:themeColor="text1"/>
          <w:lang w:eastAsia="zh-CN"/>
          <w14:textFill>
            <w14:solidFill>
              <w14:schemeClr w14:val="tx1"/>
            </w14:solidFill>
          </w14:textFill>
        </w:rPr>
        <w:t>脱贫不稳定家庭、突发严重困难家庭、边缘易致贫家庭、相对稳定脱贫家庭</w:t>
      </w:r>
      <w:r>
        <w:rPr>
          <w:rFonts w:hint="eastAsia" w:ascii="仿宋" w:hAnsi="仿宋" w:eastAsia="仿宋" w:cs="仿宋"/>
          <w:color w:val="000000" w:themeColor="text1"/>
          <w14:textFill>
            <w14:solidFill>
              <w14:schemeClr w14:val="tx1"/>
            </w14:solidFill>
          </w14:textFill>
        </w:rPr>
        <w:t>、低保家庭、特困供养等家庭经济特困在校学生免住宿费，由财政按照每生每年600元的标准给予补助。</w:t>
      </w:r>
    </w:p>
    <w:p>
      <w:pPr>
        <w:topLinePunct/>
        <w:snapToGrid/>
        <w:spacing w:line="578" w:lineRule="exact"/>
        <w:ind w:firstLine="640" w:firstLineChars="200"/>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eastAsia="zh-CN"/>
          <w14:textFill>
            <w14:solidFill>
              <w14:schemeClr w14:val="tx1"/>
            </w14:solidFill>
          </w14:textFill>
        </w:rPr>
        <w:t>三</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bCs/>
          <w:color w:val="000000" w:themeColor="text1"/>
          <w14:textFill>
            <w14:solidFill>
              <w14:schemeClr w14:val="tx1"/>
            </w14:solidFill>
          </w14:textFill>
        </w:rPr>
        <w:t>国家助学金。资助中等职业学校全日制正式学籍在校一、二年级涉农专业学生和非涉农专业家庭经济困难学生。</w:t>
      </w:r>
      <w:r>
        <w:rPr>
          <w:rFonts w:hint="eastAsia" w:ascii="仿宋" w:hAnsi="仿宋" w:eastAsia="仿宋" w:cs="仿宋"/>
        </w:rPr>
        <w:t>非涉农专业家庭经济困难学生比例按学校所在地核定，所在地为8个少数民族市县的中等职业学校按一、二年级全日制正式学籍非涉农专业在校生的20%核定，其他中等职业学校按15%核定。</w:t>
      </w:r>
      <w:r>
        <w:rPr>
          <w:rFonts w:hint="eastAsia" w:ascii="仿宋" w:hAnsi="仿宋" w:eastAsia="仿宋" w:cs="仿宋"/>
          <w:lang w:eastAsia="zh-CN"/>
        </w:rPr>
        <w:t>对</w:t>
      </w:r>
      <w:r>
        <w:rPr>
          <w:rFonts w:hint="eastAsia" w:ascii="仿宋" w:hAnsi="仿宋" w:eastAsia="仿宋" w:cs="仿宋"/>
        </w:rPr>
        <w:t>六盘山区等11个原连片特困地区和西藏、四省涉藏州县、新疆南疆四地州中等职业学校农村学生（不含县城）全部纳入享受国家助学金范围，《海南省教育厅等八部门关于印发&lt;海南省家庭经济困难学生</w:t>
      </w:r>
      <w:r>
        <w:rPr>
          <w:rFonts w:hint="eastAsia" w:ascii="仿宋" w:hAnsi="仿宋" w:eastAsia="仿宋" w:cs="仿宋"/>
          <w:lang w:val="en-US" w:eastAsia="zh-CN"/>
        </w:rPr>
        <w:t>确</w:t>
      </w:r>
      <w:r>
        <w:rPr>
          <w:rFonts w:hint="eastAsia" w:ascii="仿宋" w:hAnsi="仿宋" w:eastAsia="仿宋" w:cs="仿宋"/>
        </w:rPr>
        <w:t>定工作实施办法&gt;的通知》（琼教规〔2020〕7号）的要求认定为家庭经济“特殊困难”的学生</w:t>
      </w:r>
      <w:r>
        <w:rPr>
          <w:rFonts w:hint="eastAsia" w:ascii="仿宋" w:hAnsi="仿宋" w:eastAsia="仿宋" w:cs="仿宋"/>
          <w:lang w:eastAsia="zh-CN"/>
        </w:rPr>
        <w:t>实施应助尽助，</w:t>
      </w:r>
      <w:r>
        <w:rPr>
          <w:rFonts w:hint="eastAsia" w:ascii="仿宋" w:hAnsi="仿宋" w:eastAsia="仿宋" w:cs="仿宋"/>
        </w:rPr>
        <w:t>不受核定的非涉农专业家庭经济困难学生比例限制</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bCs/>
          <w:color w:val="000000" w:themeColor="text1"/>
          <w14:textFill>
            <w14:solidFill>
              <w14:schemeClr w14:val="tx1"/>
            </w14:solidFill>
          </w14:textFill>
        </w:rPr>
        <w:t>资助标准为每生每年2000元。</w:t>
      </w:r>
    </w:p>
    <w:p>
      <w:pPr>
        <w:topLinePunct/>
        <w:snapToGrid/>
        <w:spacing w:line="578" w:lineRule="exact"/>
        <w:ind w:firstLine="640" w:firstLineChars="200"/>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（四）</w:t>
      </w:r>
      <w:r>
        <w:rPr>
          <w:rFonts w:hint="eastAsia" w:ascii="仿宋" w:hAnsi="仿宋" w:eastAsia="仿宋" w:cs="仿宋"/>
          <w:color w:val="000000" w:themeColor="text1"/>
          <w:lang w:eastAsia="zh-CN"/>
          <w14:textFill>
            <w14:solidFill>
              <w14:schemeClr w14:val="tx1"/>
            </w14:solidFill>
          </w14:textFill>
        </w:rPr>
        <w:t>海南省中等职业学校</w:t>
      </w:r>
      <w:r>
        <w:rPr>
          <w:rFonts w:hint="eastAsia" w:ascii="仿宋" w:hAnsi="仿宋" w:eastAsia="仿宋" w:cs="仿宋"/>
          <w:color w:val="000000" w:themeColor="text1"/>
          <w14:textFill>
            <w14:solidFill>
              <w14:schemeClr w14:val="tx1"/>
            </w14:solidFill>
          </w14:textFill>
        </w:rPr>
        <w:t>优秀学生奖学金。奖励海南省中等职业学校二年级及以上品学兼优的全日制在校学生，全省每年奖励1500人，每生每年2000元。</w:t>
      </w:r>
    </w:p>
    <w:p>
      <w:pPr>
        <w:topLinePunct/>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 xml:space="preserve">第八条 </w:t>
      </w:r>
      <w:r>
        <w:rPr>
          <w:rFonts w:hint="eastAsia" w:ascii="仿宋" w:hAnsi="仿宋" w:eastAsia="仿宋" w:cs="仿宋"/>
          <w:bCs/>
          <w:color w:val="000000" w:themeColor="text1"/>
          <w14:textFill>
            <w14:solidFill>
              <w14:schemeClr w14:val="tx1"/>
            </w14:solidFill>
          </w14:textFill>
        </w:rPr>
        <w:t>普通高中资助范围及标准：</w:t>
      </w:r>
    </w:p>
    <w:p>
      <w:pPr>
        <w:topLinePunct/>
        <w:snapToGrid/>
        <w:spacing w:line="578" w:lineRule="exact"/>
        <w:ind w:firstLine="640" w:firstLineChars="200"/>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（一）免学杂费。对具有正式</w:t>
      </w:r>
      <w:r>
        <w:rPr>
          <w:rFonts w:hint="eastAsia" w:ascii="仿宋" w:hAnsi="仿宋" w:eastAsia="仿宋" w:cs="仿宋"/>
          <w:bCs/>
          <w:color w:val="000000" w:themeColor="text1"/>
          <w:lang w:eastAsia="zh-CN"/>
          <w14:textFill>
            <w14:solidFill>
              <w14:schemeClr w14:val="tx1"/>
            </w14:solidFill>
          </w14:textFill>
        </w:rPr>
        <w:t>注册</w:t>
      </w:r>
      <w:r>
        <w:rPr>
          <w:rFonts w:hint="eastAsia" w:ascii="仿宋" w:hAnsi="仿宋" w:eastAsia="仿宋" w:cs="仿宋"/>
          <w:bCs/>
          <w:color w:val="000000" w:themeColor="text1"/>
          <w14:textFill>
            <w14:solidFill>
              <w14:schemeClr w14:val="tx1"/>
            </w14:solidFill>
          </w14:textFill>
        </w:rPr>
        <w:t>学籍的普通高中</w:t>
      </w:r>
      <w:r>
        <w:rPr>
          <w:rFonts w:hint="eastAsia" w:ascii="仿宋" w:hAnsi="仿宋" w:eastAsia="仿宋" w:cs="仿宋"/>
          <w:bCs/>
          <w:color w:val="000000" w:themeColor="text1"/>
          <w:highlight w:val="none"/>
          <w14:textFill>
            <w14:solidFill>
              <w14:schemeClr w14:val="tx1"/>
            </w14:solidFill>
          </w14:textFill>
        </w:rPr>
        <w:t>原建档立卡等家庭经济困难学生</w:t>
      </w:r>
      <w:r>
        <w:rPr>
          <w:rFonts w:hint="eastAsia" w:ascii="仿宋" w:hAnsi="仿宋" w:eastAsia="仿宋" w:cs="仿宋"/>
          <w:bCs/>
          <w:color w:val="000000" w:themeColor="text1"/>
          <w14:textFill>
            <w14:solidFill>
              <w14:schemeClr w14:val="tx1"/>
            </w14:solidFill>
          </w14:textFill>
        </w:rPr>
        <w:t>（含非建档立卡的家庭经济困难残疾学生、农村低保家庭学生、农村特困救助供养学生）免学杂费，并对其中少数民族学生再免除住宿费和教材费。公办普通高中免除学杂费、住宿费标准按照省人民政府及其价格主管部门批准的学杂费和住宿费标准执行确定，免除教材费标准按照每生每年600元确定。对在各级教育行政部门依法批准的民办普通高中就读的符合免学杂费、住宿费、教材费政策条件的学生，按照当地同类型公办普通高中免费标准相应免除学杂费、住宿费、教材费。各市县普通高中免费政策范围宽于或标准高于本实施方案的，可继续执行。</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（二）国家助学金。</w:t>
      </w:r>
      <w:r>
        <w:rPr>
          <w:rFonts w:hint="eastAsia" w:ascii="仿宋" w:hAnsi="仿宋" w:eastAsia="仿宋" w:cs="仿宋"/>
          <w:color w:val="000000" w:themeColor="text1"/>
          <w14:textFill>
            <w14:solidFill>
              <w14:schemeClr w14:val="tx1"/>
            </w14:solidFill>
          </w14:textFill>
        </w:rPr>
        <w:t>资助具有正式</w:t>
      </w:r>
      <w:r>
        <w:rPr>
          <w:rFonts w:hint="eastAsia" w:ascii="仿宋" w:hAnsi="仿宋" w:eastAsia="仿宋" w:cs="仿宋"/>
          <w:color w:val="000000" w:themeColor="text1"/>
          <w:lang w:eastAsia="zh-CN"/>
          <w14:textFill>
            <w14:solidFill>
              <w14:schemeClr w14:val="tx1"/>
            </w14:solidFill>
          </w14:textFill>
        </w:rPr>
        <w:t>注册</w:t>
      </w:r>
      <w:r>
        <w:rPr>
          <w:rFonts w:hint="eastAsia" w:ascii="仿宋" w:hAnsi="仿宋" w:eastAsia="仿宋" w:cs="仿宋"/>
          <w:color w:val="000000" w:themeColor="text1"/>
          <w14:textFill>
            <w14:solidFill>
              <w14:schemeClr w14:val="tx1"/>
            </w14:solidFill>
          </w14:textFill>
        </w:rPr>
        <w:t>学籍的普通高中在校生中的家庭经济困难学生</w:t>
      </w:r>
      <w:r>
        <w:rPr>
          <w:rFonts w:hint="eastAsia" w:ascii="仿宋" w:hAnsi="仿宋" w:eastAsia="仿宋" w:cs="仿宋"/>
          <w:bCs/>
          <w:color w:val="000000" w:themeColor="text1"/>
          <w14:textFill>
            <w14:solidFill>
              <w14:schemeClr w14:val="tx1"/>
            </w14:solidFill>
          </w14:textFill>
        </w:rPr>
        <w:t>。各地可结合实际，在确定资助</w:t>
      </w:r>
      <w:r>
        <w:rPr>
          <w:rFonts w:hint="eastAsia" w:ascii="仿宋" w:hAnsi="仿宋" w:eastAsia="仿宋" w:cs="仿宋"/>
          <w:bCs/>
          <w:color w:val="000000" w:themeColor="text1"/>
          <w:lang w:eastAsia="zh-CN"/>
          <w14:textFill>
            <w14:solidFill>
              <w14:schemeClr w14:val="tx1"/>
            </w14:solidFill>
          </w14:textFill>
        </w:rPr>
        <w:t>范围</w:t>
      </w:r>
      <w:r>
        <w:rPr>
          <w:rFonts w:hint="eastAsia" w:ascii="仿宋" w:hAnsi="仿宋" w:eastAsia="仿宋" w:cs="仿宋"/>
          <w:bCs/>
          <w:color w:val="000000" w:themeColor="text1"/>
          <w14:textFill>
            <w14:solidFill>
              <w14:schemeClr w14:val="tx1"/>
            </w14:solidFill>
          </w14:textFill>
        </w:rPr>
        <w:t>时适当向农村地区、贫困地区和民族地区倾斜。平均资助标准为每生每年2000元，</w:t>
      </w:r>
      <w:r>
        <w:rPr>
          <w:rFonts w:hint="eastAsia" w:ascii="仿宋" w:hAnsi="仿宋" w:eastAsia="仿宋" w:cs="仿宋"/>
          <w:color w:val="000000" w:themeColor="text1"/>
          <w14:textFill>
            <w14:solidFill>
              <w14:schemeClr w14:val="tx1"/>
            </w14:solidFill>
          </w14:textFill>
        </w:rPr>
        <w:t>具体分为2档，第一档标准为每生每年2500元，</w:t>
      </w:r>
      <w:r>
        <w:rPr>
          <w:rFonts w:hint="eastAsia" w:ascii="仿宋" w:hAnsi="仿宋" w:eastAsia="仿宋" w:cs="仿宋"/>
          <w:color w:val="000000" w:themeColor="text1"/>
          <w:szCs w:val="32"/>
          <w14:textFill>
            <w14:solidFill>
              <w14:schemeClr w14:val="tx1"/>
            </w14:solidFill>
          </w14:textFill>
        </w:rPr>
        <w:t>第二档标准为每生每年1500元。第一档资助对象的数量原则上不得超过学校当年资助总人数的一半。</w:t>
      </w:r>
    </w:p>
    <w:p>
      <w:pPr>
        <w:topLinePunct/>
        <w:snapToGrid/>
        <w:spacing w:line="578" w:lineRule="exact"/>
        <w:ind w:firstLine="642" w:firstLineChars="200"/>
        <w:rPr>
          <w:rFonts w:ascii="Times New Roman" w:hAnsi="Times New Roman"/>
          <w:color w:val="000000" w:themeColor="text1"/>
          <w14:textFill>
            <w14:solidFill>
              <w14:schemeClr w14:val="tx1"/>
            </w14:solidFill>
          </w14:textFill>
        </w:rPr>
      </w:pPr>
      <w:r>
        <w:rPr>
          <w:rFonts w:hint="eastAsia" w:ascii="仿宋" w:hAnsi="仿宋" w:eastAsia="仿宋" w:cs="仿宋"/>
          <w:b/>
          <w:color w:val="000000" w:themeColor="text1"/>
          <w:kern w:val="0"/>
          <w:szCs w:val="32"/>
          <w14:textFill>
            <w14:solidFill>
              <w14:schemeClr w14:val="tx1"/>
            </w14:solidFill>
          </w14:textFill>
        </w:rPr>
        <w:t xml:space="preserve">第九条 </w:t>
      </w:r>
      <w:r>
        <w:rPr>
          <w:rFonts w:hint="eastAsia" w:ascii="仿宋" w:hAnsi="仿宋" w:eastAsia="仿宋" w:cs="仿宋"/>
          <w:color w:val="000000" w:themeColor="text1"/>
          <w14:textFill>
            <w14:solidFill>
              <w14:schemeClr w14:val="tx1"/>
            </w14:solidFill>
          </w14:textFill>
        </w:rPr>
        <w:t>国家奖学金、国家励志奖学金、学业奖学金、国家助学金、免学（杂）费补助资金、服兵役高等学校学生国家教育资助资金、基层就业学费补偿国家助学贷款代偿资金、免住宿费补助资金、免教材费补助资金、省级奖学金的资助范围和标准，将根据国家最新政策规定，结合我省经济发展水平、财力状况、物价水平、相关学校收费标准等因素，实行动态调整。</w:t>
      </w:r>
    </w:p>
    <w:p>
      <w:pPr>
        <w:topLinePunct/>
        <w:snapToGrid/>
        <w:spacing w:beforeLines="100" w:afterLines="100" w:line="578" w:lineRule="exact"/>
        <w:jc w:val="center"/>
        <w:rPr>
          <w:rFonts w:ascii="Times New Roman" w:hAnsi="Times New Roman" w:eastAsia="黑体"/>
          <w:color w:val="000000" w:themeColor="text1"/>
          <w14:textFill>
            <w14:solidFill>
              <w14:schemeClr w14:val="tx1"/>
            </w14:solidFill>
          </w14:textFill>
        </w:rPr>
      </w:pPr>
      <w:r>
        <w:rPr>
          <w:rFonts w:hint="eastAsia" w:ascii="Times New Roman" w:hAnsi="Times New Roman" w:eastAsia="黑体"/>
          <w:color w:val="000000" w:themeColor="text1"/>
          <w14:textFill>
            <w14:solidFill>
              <w14:schemeClr w14:val="tx1"/>
            </w14:solidFill>
          </w14:textFill>
        </w:rPr>
        <w:t>第三章</w:t>
      </w:r>
      <w:r>
        <w:rPr>
          <w:rFonts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14:textFill>
            <w14:solidFill>
              <w14:schemeClr w14:val="tx1"/>
            </w14:solidFill>
          </w14:textFill>
        </w:rPr>
        <w:t>资金分担和预算安排</w:t>
      </w:r>
    </w:p>
    <w:p>
      <w:pPr>
        <w:topLinePunct/>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 xml:space="preserve">第十条 </w:t>
      </w:r>
      <w:r>
        <w:rPr>
          <w:rFonts w:hint="eastAsia" w:ascii="仿宋" w:hAnsi="仿宋" w:eastAsia="仿宋" w:cs="仿宋"/>
          <w:color w:val="000000" w:themeColor="text1"/>
          <w14:textFill>
            <w14:solidFill>
              <w14:schemeClr w14:val="tx1"/>
            </w14:solidFill>
          </w14:textFill>
        </w:rPr>
        <w:t>资助资金采用因素法分配，根据学生人数、相关标准等进行测算。</w:t>
      </w:r>
    </w:p>
    <w:p>
      <w:pPr>
        <w:topLinePunct/>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 xml:space="preserve">第十一条 </w:t>
      </w:r>
      <w:r>
        <w:rPr>
          <w:rFonts w:hint="eastAsia" w:ascii="仿宋" w:hAnsi="仿宋" w:eastAsia="仿宋" w:cs="仿宋"/>
          <w:color w:val="000000" w:themeColor="text1"/>
          <w14:textFill>
            <w14:solidFill>
              <w14:schemeClr w14:val="tx1"/>
            </w14:solidFill>
          </w14:textFill>
        </w:rPr>
        <w:t>普通高校国家奖学金、国家励志奖学金、服兵役高等学校学生国家教育资助、国家助学贷款奖补资金由中央财政承担。普通高校的国家助学金由中央与省财政按6:4分担，不区分生源地区。普通高校的学业奖学金、省级奖学金、基层就业学费补偿国家助学贷款代偿资金由省财政承担。</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 xml:space="preserve">第十二条 </w:t>
      </w:r>
      <w:r>
        <w:rPr>
          <w:rFonts w:hint="eastAsia" w:ascii="仿宋" w:hAnsi="仿宋" w:eastAsia="仿宋" w:cs="仿宋"/>
          <w:color w:val="000000" w:themeColor="text1"/>
          <w14:textFill>
            <w14:solidFill>
              <w14:schemeClr w14:val="tx1"/>
            </w14:solidFill>
          </w14:textFill>
        </w:rPr>
        <w:t>国家助学贷款奖补资金分配结合我省普通高校</w:t>
      </w:r>
      <w:r>
        <w:rPr>
          <w:rFonts w:hint="eastAsia" w:ascii="仿宋" w:hAnsi="仿宋" w:eastAsia="仿宋" w:cs="仿宋"/>
          <w:color w:val="000000" w:themeColor="text1"/>
          <w:lang w:eastAsia="zh-CN"/>
          <w14:textFill>
            <w14:solidFill>
              <w14:schemeClr w14:val="tx1"/>
            </w14:solidFill>
          </w14:textFill>
        </w:rPr>
        <w:t>在校生规模</w:t>
      </w:r>
      <w:r>
        <w:rPr>
          <w:rFonts w:hint="eastAsia" w:ascii="仿宋" w:hAnsi="仿宋" w:eastAsia="仿宋" w:cs="仿宋"/>
          <w:color w:val="000000" w:themeColor="text1"/>
          <w14:textFill>
            <w14:solidFill>
              <w14:schemeClr w14:val="tx1"/>
            </w14:solidFill>
          </w14:textFill>
        </w:rPr>
        <w:t>、国家助学贷款获贷情况、奖补资金使用情况等因素。省财政厅会同省教育厅按照财政部、教育部的工作要求适时对相关因素和权重进行调整完善。</w:t>
      </w:r>
    </w:p>
    <w:p>
      <w:pPr>
        <w:snapToGrid/>
        <w:spacing w:line="578" w:lineRule="exact"/>
        <w:ind w:firstLine="642" w:firstLineChars="200"/>
        <w:rPr>
          <w:rFonts w:hint="eastAsia" w:ascii="仿宋" w:hAnsi="仿宋" w:eastAsia="仿宋" w:cs="仿宋"/>
          <w:color w:val="000000" w:themeColor="text1"/>
          <w:szCs w:val="28"/>
          <w:lang w:val="en-US" w:eastAsia="zh-CN"/>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第十三条 </w:t>
      </w:r>
      <w:r>
        <w:rPr>
          <w:rFonts w:hint="eastAsia" w:ascii="仿宋" w:hAnsi="仿宋" w:eastAsia="仿宋" w:cs="仿宋"/>
          <w:b w:val="0"/>
          <w:bCs/>
          <w:color w:val="000000" w:themeColor="text1"/>
          <w:szCs w:val="28"/>
          <w:lang w:eastAsia="zh-CN"/>
          <w14:textFill>
            <w14:solidFill>
              <w14:schemeClr w14:val="tx1"/>
            </w14:solidFill>
          </w14:textFill>
        </w:rPr>
        <w:t>中等职业教育国家奖学金由中央财政承担。</w:t>
      </w:r>
      <w:r>
        <w:rPr>
          <w:rFonts w:hint="eastAsia" w:ascii="仿宋" w:hAnsi="仿宋" w:eastAsia="仿宋" w:cs="仿宋"/>
          <w:color w:val="000000" w:themeColor="text1"/>
          <w:szCs w:val="28"/>
          <w14:textFill>
            <w14:solidFill>
              <w14:schemeClr w14:val="tx1"/>
            </w14:solidFill>
          </w14:textFill>
        </w:rPr>
        <w:t>中等职业教育免学费和国家助学金</w:t>
      </w:r>
      <w:r>
        <w:rPr>
          <w:rFonts w:hint="eastAsia" w:ascii="仿宋" w:hAnsi="仿宋" w:eastAsia="仿宋" w:cs="仿宋"/>
          <w:color w:val="000000" w:themeColor="text1"/>
          <w:szCs w:val="28"/>
          <w:lang w:eastAsia="zh-CN"/>
          <w14:textFill>
            <w14:solidFill>
              <w14:schemeClr w14:val="tx1"/>
            </w14:solidFill>
          </w14:textFill>
        </w:rPr>
        <w:t>由中央和地方财政分担</w:t>
      </w:r>
      <w:r>
        <w:rPr>
          <w:rFonts w:hint="eastAsia" w:ascii="仿宋" w:hAnsi="仿宋" w:eastAsia="仿宋" w:cs="仿宋"/>
          <w:color w:val="000000" w:themeColor="text1"/>
          <w:szCs w:val="28"/>
          <w14:textFill>
            <w14:solidFill>
              <w14:schemeClr w14:val="tx1"/>
            </w14:solidFill>
          </w14:textFill>
        </w:rPr>
        <w:t>，</w:t>
      </w:r>
      <w:r>
        <w:rPr>
          <w:rFonts w:hint="eastAsia" w:ascii="仿宋" w:hAnsi="仿宋" w:eastAsia="仿宋" w:cs="仿宋"/>
          <w:color w:val="000000" w:themeColor="text1"/>
          <w:szCs w:val="28"/>
          <w:lang w:eastAsia="zh-CN"/>
          <w14:textFill>
            <w14:solidFill>
              <w14:schemeClr w14:val="tx1"/>
            </w14:solidFill>
          </w14:textFill>
        </w:rPr>
        <w:t>省级财政统筹落实。</w:t>
      </w:r>
      <w:r>
        <w:rPr>
          <w:rFonts w:hint="eastAsia" w:ascii="仿宋" w:hAnsi="仿宋" w:eastAsia="仿宋" w:cs="仿宋"/>
          <w:color w:val="000000" w:themeColor="text1"/>
          <w:szCs w:val="28"/>
          <w14:textFill>
            <w14:solidFill>
              <w14:schemeClr w14:val="tx1"/>
            </w14:solidFill>
          </w14:textFill>
        </w:rPr>
        <w:t>中央财政统一按每生每年平均2000元的测算标准</w:t>
      </w:r>
      <w:r>
        <w:rPr>
          <w:rFonts w:hint="eastAsia" w:ascii="仿宋" w:hAnsi="仿宋" w:eastAsia="仿宋" w:cs="仿宋"/>
          <w:color w:val="000000" w:themeColor="text1"/>
          <w:szCs w:val="28"/>
          <w:lang w:eastAsia="zh-CN"/>
          <w14:textFill>
            <w14:solidFill>
              <w14:schemeClr w14:val="tx1"/>
            </w14:solidFill>
          </w14:textFill>
        </w:rPr>
        <w:t>与</w:t>
      </w:r>
      <w:r>
        <w:rPr>
          <w:rFonts w:hint="eastAsia" w:ascii="仿宋" w:hAnsi="仿宋" w:eastAsia="仿宋" w:cs="仿宋"/>
          <w:color w:val="000000" w:themeColor="text1"/>
          <w:szCs w:val="28"/>
          <w14:textFill>
            <w14:solidFill>
              <w14:schemeClr w14:val="tx1"/>
            </w14:solidFill>
          </w14:textFill>
        </w:rPr>
        <w:t>地方</w:t>
      </w:r>
      <w:r>
        <w:rPr>
          <w:rFonts w:hint="eastAsia" w:ascii="仿宋" w:hAnsi="仿宋" w:eastAsia="仿宋" w:cs="仿宋"/>
          <w:color w:val="000000" w:themeColor="text1"/>
          <w:szCs w:val="28"/>
          <w:lang w:eastAsia="zh-CN"/>
          <w14:textFill>
            <w14:solidFill>
              <w14:schemeClr w14:val="tx1"/>
            </w14:solidFill>
          </w14:textFill>
        </w:rPr>
        <w:t>分档按比例分担，我省为第二档地区，中央</w:t>
      </w:r>
      <w:r>
        <w:rPr>
          <w:rFonts w:hint="eastAsia" w:ascii="仿宋" w:hAnsi="仿宋" w:eastAsia="仿宋" w:cs="仿宋"/>
          <w:color w:val="000000" w:themeColor="text1"/>
          <w:szCs w:val="28"/>
          <w14:textFill>
            <w14:solidFill>
              <w14:schemeClr w14:val="tx1"/>
            </w14:solidFill>
          </w14:textFill>
        </w:rPr>
        <w:t>财政</w:t>
      </w:r>
      <w:r>
        <w:rPr>
          <w:rFonts w:hint="eastAsia" w:ascii="仿宋" w:hAnsi="仿宋" w:eastAsia="仿宋" w:cs="仿宋"/>
          <w:color w:val="000000" w:themeColor="text1"/>
          <w:szCs w:val="28"/>
          <w:lang w:eastAsia="zh-CN"/>
          <w14:textFill>
            <w14:solidFill>
              <w14:schemeClr w14:val="tx1"/>
            </w14:solidFill>
          </w14:textFill>
        </w:rPr>
        <w:t>负担</w:t>
      </w:r>
      <w:r>
        <w:rPr>
          <w:rFonts w:hint="eastAsia" w:ascii="仿宋" w:hAnsi="仿宋" w:eastAsia="仿宋" w:cs="仿宋"/>
          <w:color w:val="000000" w:themeColor="text1"/>
          <w:szCs w:val="28"/>
          <w:lang w:val="en-US" w:eastAsia="zh-CN"/>
          <w14:textFill>
            <w14:solidFill>
              <w14:schemeClr w14:val="tx1"/>
            </w14:solidFill>
          </w14:textFill>
        </w:rPr>
        <w:t>60%</w:t>
      </w:r>
      <w:r>
        <w:rPr>
          <w:rFonts w:hint="eastAsia" w:ascii="仿宋" w:hAnsi="仿宋" w:eastAsia="仿宋" w:cs="仿宋"/>
          <w:color w:val="000000" w:themeColor="text1"/>
          <w:szCs w:val="28"/>
          <w14:textFill>
            <w14:solidFill>
              <w14:schemeClr w14:val="tx1"/>
            </w14:solidFill>
          </w14:textFill>
        </w:rPr>
        <w:t>（其中生源地为国办发〔201</w:t>
      </w:r>
      <w:r>
        <w:rPr>
          <w:rFonts w:hint="eastAsia" w:ascii="仿宋" w:hAnsi="仿宋" w:eastAsia="仿宋" w:cs="仿宋"/>
          <w:color w:val="000000" w:themeColor="text1"/>
          <w:szCs w:val="28"/>
          <w:lang w:val="en-US" w:eastAsia="zh-CN"/>
          <w14:textFill>
            <w14:solidFill>
              <w14:schemeClr w14:val="tx1"/>
            </w14:solidFill>
          </w14:textFill>
        </w:rPr>
        <w:t>9</w:t>
      </w:r>
      <w:r>
        <w:rPr>
          <w:rFonts w:hint="eastAsia" w:ascii="仿宋" w:hAnsi="仿宋" w:eastAsia="仿宋" w:cs="仿宋"/>
          <w:color w:val="000000" w:themeColor="text1"/>
          <w:szCs w:val="28"/>
          <w14:textFill>
            <w14:solidFill>
              <w14:schemeClr w14:val="tx1"/>
            </w14:solidFill>
          </w14:textFill>
        </w:rPr>
        <w:t>〕</w:t>
      </w:r>
      <w:r>
        <w:rPr>
          <w:rFonts w:hint="eastAsia" w:ascii="仿宋" w:hAnsi="仿宋" w:eastAsia="仿宋" w:cs="仿宋"/>
          <w:color w:val="000000" w:themeColor="text1"/>
          <w:szCs w:val="28"/>
          <w:lang w:val="en-US" w:eastAsia="zh-CN"/>
          <w14:textFill>
            <w14:solidFill>
              <w14:schemeClr w14:val="tx1"/>
            </w14:solidFill>
          </w14:textFill>
        </w:rPr>
        <w:t>27</w:t>
      </w:r>
      <w:r>
        <w:rPr>
          <w:rFonts w:hint="eastAsia" w:ascii="仿宋" w:hAnsi="仿宋" w:eastAsia="仿宋" w:cs="仿宋"/>
          <w:color w:val="000000" w:themeColor="text1"/>
          <w:szCs w:val="28"/>
          <w14:textFill>
            <w14:solidFill>
              <w14:schemeClr w14:val="tx1"/>
            </w14:solidFill>
          </w14:textFill>
        </w:rPr>
        <w:t>号文件划定的第一档省份，中央财政</w:t>
      </w:r>
      <w:r>
        <w:rPr>
          <w:rFonts w:hint="eastAsia" w:ascii="仿宋" w:hAnsi="仿宋" w:eastAsia="仿宋" w:cs="仿宋"/>
          <w:color w:val="000000" w:themeColor="text1"/>
          <w:szCs w:val="28"/>
          <w:lang w:eastAsia="zh-CN"/>
          <w14:textFill>
            <w14:solidFill>
              <w14:schemeClr w14:val="tx1"/>
            </w14:solidFill>
          </w14:textFill>
        </w:rPr>
        <w:t>负担</w:t>
      </w:r>
      <w:r>
        <w:rPr>
          <w:rFonts w:hint="eastAsia" w:ascii="仿宋" w:hAnsi="仿宋" w:eastAsia="仿宋" w:cs="仿宋"/>
          <w:color w:val="000000" w:themeColor="text1"/>
          <w:szCs w:val="28"/>
          <w:lang w:val="en-US" w:eastAsia="zh-CN"/>
          <w14:textFill>
            <w14:solidFill>
              <w14:schemeClr w14:val="tx1"/>
            </w14:solidFill>
          </w14:textFill>
        </w:rPr>
        <w:t>80%</w:t>
      </w:r>
      <w:r>
        <w:rPr>
          <w:rFonts w:hint="eastAsia" w:ascii="仿宋" w:hAnsi="仿宋" w:eastAsia="仿宋" w:cs="仿宋"/>
          <w:color w:val="000000" w:themeColor="text1"/>
          <w:szCs w:val="28"/>
          <w14:textFill>
            <w14:solidFill>
              <w14:schemeClr w14:val="tx1"/>
            </w14:solidFill>
          </w14:textFill>
        </w:rPr>
        <w:t>）。</w:t>
      </w:r>
      <w:r>
        <w:rPr>
          <w:rFonts w:hint="eastAsia" w:ascii="仿宋" w:hAnsi="仿宋" w:eastAsia="仿宋" w:cs="仿宋"/>
          <w:color w:val="000000" w:themeColor="text1"/>
          <w:szCs w:val="28"/>
          <w:lang w:eastAsia="zh-CN"/>
          <w14:textFill>
            <w14:solidFill>
              <w14:schemeClr w14:val="tx1"/>
            </w14:solidFill>
          </w14:textFill>
        </w:rPr>
        <w:t>比照享受西部政策的市县，中央财政按</w:t>
      </w:r>
      <w:r>
        <w:rPr>
          <w:rFonts w:hint="eastAsia" w:ascii="仿宋" w:hAnsi="仿宋" w:eastAsia="仿宋" w:cs="仿宋"/>
          <w:color w:val="000000" w:themeColor="text1"/>
          <w:szCs w:val="28"/>
          <w14:textFill>
            <w14:solidFill>
              <w14:schemeClr w14:val="tx1"/>
            </w14:solidFill>
          </w14:textFill>
        </w:rPr>
        <w:t>第一档</w:t>
      </w:r>
      <w:r>
        <w:rPr>
          <w:rFonts w:hint="eastAsia" w:ascii="仿宋" w:hAnsi="仿宋" w:eastAsia="仿宋" w:cs="仿宋"/>
          <w:color w:val="000000" w:themeColor="text1"/>
          <w:szCs w:val="28"/>
          <w:lang w:eastAsia="zh-CN"/>
          <w14:textFill>
            <w14:solidFill>
              <w14:schemeClr w14:val="tx1"/>
            </w14:solidFill>
          </w14:textFill>
        </w:rPr>
        <w:t>负担</w:t>
      </w:r>
      <w:r>
        <w:rPr>
          <w:rFonts w:hint="eastAsia" w:ascii="仿宋" w:hAnsi="仿宋" w:eastAsia="仿宋" w:cs="仿宋"/>
          <w:color w:val="000000" w:themeColor="text1"/>
          <w:szCs w:val="28"/>
          <w:lang w:val="en-US" w:eastAsia="zh-CN"/>
          <w14:textFill>
            <w14:solidFill>
              <w14:schemeClr w14:val="tx1"/>
            </w14:solidFill>
          </w14:textFill>
        </w:rPr>
        <w:t>80%。</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省属</w:t>
      </w:r>
      <w:r>
        <w:rPr>
          <w:rFonts w:hint="eastAsia" w:ascii="仿宋" w:hAnsi="仿宋" w:eastAsia="仿宋" w:cs="仿宋"/>
          <w:color w:val="000000" w:themeColor="text1"/>
          <w:szCs w:val="28"/>
          <w:lang w:eastAsia="zh-CN"/>
          <w14:textFill>
            <w14:solidFill>
              <w14:schemeClr w14:val="tx1"/>
            </w14:solidFill>
          </w14:textFill>
        </w:rPr>
        <w:t>公办</w:t>
      </w:r>
      <w:r>
        <w:rPr>
          <w:rFonts w:hint="eastAsia" w:ascii="仿宋" w:hAnsi="仿宋" w:eastAsia="仿宋" w:cs="仿宋"/>
          <w:color w:val="000000" w:themeColor="text1"/>
          <w:szCs w:val="28"/>
          <w14:textFill>
            <w14:solidFill>
              <w14:schemeClr w14:val="tx1"/>
            </w14:solidFill>
          </w14:textFill>
        </w:rPr>
        <w:t>中等职业学校免学费按照省定的补助标准，所需补助资金由中央财政和省级财政分担。市县所属</w:t>
      </w:r>
      <w:r>
        <w:rPr>
          <w:rFonts w:hint="eastAsia" w:ascii="仿宋" w:hAnsi="仿宋" w:eastAsia="仿宋" w:cs="仿宋"/>
          <w:color w:val="000000" w:themeColor="text1"/>
          <w:szCs w:val="28"/>
          <w:lang w:eastAsia="zh-CN"/>
          <w14:textFill>
            <w14:solidFill>
              <w14:schemeClr w14:val="tx1"/>
            </w14:solidFill>
          </w14:textFill>
        </w:rPr>
        <w:t>公办</w:t>
      </w:r>
      <w:r>
        <w:rPr>
          <w:rFonts w:hint="eastAsia" w:ascii="仿宋" w:hAnsi="仿宋" w:eastAsia="仿宋" w:cs="仿宋"/>
          <w:color w:val="000000" w:themeColor="text1"/>
          <w:szCs w:val="28"/>
          <w14:textFill>
            <w14:solidFill>
              <w14:schemeClr w14:val="tx1"/>
            </w14:solidFill>
          </w14:textFill>
        </w:rPr>
        <w:t>中等职业学校符合中央补助政策范围</w:t>
      </w:r>
      <w:r>
        <w:rPr>
          <w:rFonts w:hint="eastAsia" w:ascii="仿宋" w:hAnsi="仿宋" w:eastAsia="仿宋" w:cs="仿宋"/>
          <w:color w:val="000000" w:themeColor="text1"/>
          <w:szCs w:val="28"/>
          <w:lang w:eastAsia="zh-CN"/>
          <w14:textFill>
            <w14:solidFill>
              <w14:schemeClr w14:val="tx1"/>
            </w14:solidFill>
          </w14:textFill>
        </w:rPr>
        <w:t>的</w:t>
      </w:r>
      <w:r>
        <w:rPr>
          <w:rFonts w:hint="eastAsia" w:ascii="仿宋" w:hAnsi="仿宋" w:eastAsia="仿宋" w:cs="仿宋"/>
          <w:color w:val="000000" w:themeColor="text1"/>
          <w:szCs w:val="28"/>
          <w14:textFill>
            <w14:solidFill>
              <w14:schemeClr w14:val="tx1"/>
            </w14:solidFill>
          </w14:textFill>
        </w:rPr>
        <w:t>学生</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免学费补助资金由中央、省级和市县财政共同分担</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rPr>
        <w:t>分担办法为中央和省级财政按每生每年2000元的标准对海口市所属中等职业学校、按每生每年1400元的标准对其他市县所属中等职业学校进行免学费补助</w:t>
      </w:r>
      <w:r>
        <w:rPr>
          <w:rFonts w:hint="eastAsia" w:ascii="仿宋" w:hAnsi="仿宋" w:eastAsia="仿宋" w:cs="仿宋"/>
          <w:lang w:val="en-US" w:eastAsia="zh-CN"/>
        </w:rPr>
        <w:t>,</w:t>
      </w:r>
      <w:r>
        <w:rPr>
          <w:rFonts w:hint="eastAsia" w:ascii="仿宋" w:hAnsi="仿宋" w:eastAsia="仿宋" w:cs="仿宋"/>
        </w:rPr>
        <w:t>其余免学费补助资金全部由市县财政自行负担</w:t>
      </w:r>
      <w:r>
        <w:rPr>
          <w:rFonts w:hint="eastAsia" w:ascii="仿宋" w:hAnsi="仿宋" w:eastAsia="仿宋" w:cs="仿宋"/>
          <w:color w:val="000000" w:themeColor="text1"/>
          <w:szCs w:val="28"/>
          <w14:textFill>
            <w14:solidFill>
              <w14:schemeClr w14:val="tx1"/>
            </w14:solidFill>
          </w14:textFill>
        </w:rPr>
        <w:t>。</w:t>
      </w:r>
    </w:p>
    <w:p>
      <w:pPr>
        <w:topLinePunct/>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lang w:eastAsia="zh-CN"/>
          <w14:textFill>
            <w14:solidFill>
              <w14:schemeClr w14:val="tx1"/>
            </w14:solidFill>
          </w14:textFill>
        </w:rPr>
        <w:t>公办</w:t>
      </w:r>
      <w:r>
        <w:rPr>
          <w:rFonts w:hint="eastAsia" w:ascii="仿宋" w:hAnsi="仿宋" w:eastAsia="仿宋" w:cs="仿宋"/>
          <w:color w:val="000000" w:themeColor="text1"/>
          <w:szCs w:val="28"/>
          <w14:textFill>
            <w14:solidFill>
              <w14:schemeClr w14:val="tx1"/>
            </w14:solidFill>
          </w14:textFill>
        </w:rPr>
        <w:t>中等职业学校全日制正式学籍涉农专业一、二年级在校学生免住宿费和教材费补助资金，省属中等职业学校由省级财政承担，市县所属中等职业学校由市县财政承担。中等职业学校全日制正式学籍非涉农专业一、二年级</w:t>
      </w:r>
      <w:r>
        <w:rPr>
          <w:rFonts w:hint="eastAsia" w:ascii="仿宋" w:hAnsi="仿宋" w:eastAsia="仿宋" w:cs="仿宋"/>
          <w:color w:val="000000" w:themeColor="text1"/>
          <w:lang w:eastAsia="zh-CN"/>
          <w14:textFill>
            <w14:solidFill>
              <w14:schemeClr w14:val="tx1"/>
            </w14:solidFill>
          </w14:textFill>
        </w:rPr>
        <w:t>脱贫不稳定家庭、突发严重困难家庭、边缘易致贫家庭、相对稳定脱贫家庭</w:t>
      </w:r>
      <w:r>
        <w:rPr>
          <w:rFonts w:hint="eastAsia" w:ascii="仿宋" w:hAnsi="仿宋" w:eastAsia="仿宋" w:cs="仿宋"/>
          <w:color w:val="000000" w:themeColor="text1"/>
          <w:szCs w:val="28"/>
          <w14:textFill>
            <w14:solidFill>
              <w14:schemeClr w14:val="tx1"/>
            </w14:solidFill>
          </w14:textFill>
        </w:rPr>
        <w:t>、低保家庭、特困供养等家庭经济特困在校学生免住宿费资金，省属学校所需补助资金由省级财政承担，市县所属学校所需补助资金由省和市县财政按7:3分担。</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对因免除学费、住宿费和教材费导致学校收入减少的部分，由财政按照免除学费、住宿费和教材费学生人数及相应的标准给予补助，弥补学校运转出现的经费缺口。</w:t>
      </w:r>
    </w:p>
    <w:p>
      <w:pPr>
        <w:topLinePunct/>
        <w:snapToGrid/>
        <w:spacing w:line="578" w:lineRule="exact"/>
        <w:ind w:firstLine="64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对在经各级政府有关部门依法批准、符合国家标准的民办中等职业学校就读的符合全日制正式学籍在校学生免学费、涉农专业学生免住宿费、教材费及特困学生免住宿费政策条件的学生，按照当地同类型同专业公办中等职业学校学生免费补助资金来源及补助标准给予补助。民办中等职业学校经批准的学费、住宿费、教材费标准高于公办学校免学费、免住宿费、免教材费补助标准的部分，学校可按规定继续向学生收取；低于公办学校免学费、免住宿费、免教材费补助标准的，按民办学校实际收费标准给予补助。</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国家助学金补助资金，省属中等职业学校由中央和省级财政分担，市县所属中等职业学校除去中央资金外，由省与市县按7:3分担。</w:t>
      </w:r>
    </w:p>
    <w:p>
      <w:pPr>
        <w:topLinePunct/>
        <w:snapToGrid/>
        <w:spacing w:line="578" w:lineRule="exact"/>
        <w:ind w:firstLine="640" w:firstLineChars="200"/>
        <w:rPr>
          <w:rFonts w:hint="eastAsia"/>
        </w:rPr>
      </w:pPr>
      <w:r>
        <w:rPr>
          <w:rFonts w:hint="eastAsia" w:ascii="仿宋" w:hAnsi="仿宋" w:eastAsia="仿宋" w:cs="仿宋"/>
          <w:color w:val="000000" w:themeColor="text1"/>
          <w:szCs w:val="28"/>
          <w14:textFill>
            <w14:solidFill>
              <w14:schemeClr w14:val="tx1"/>
            </w14:solidFill>
          </w14:textFill>
        </w:rPr>
        <w:t>海南省中等职业学校优秀学生奖学金由省</w:t>
      </w:r>
      <w:r>
        <w:rPr>
          <w:rFonts w:hint="eastAsia" w:ascii="仿宋" w:hAnsi="仿宋" w:eastAsia="仿宋" w:cs="仿宋"/>
          <w:color w:val="000000" w:themeColor="text1"/>
          <w:szCs w:val="28"/>
          <w:lang w:eastAsia="zh-CN"/>
          <w14:textFill>
            <w14:solidFill>
              <w14:schemeClr w14:val="tx1"/>
            </w14:solidFill>
          </w14:textFill>
        </w:rPr>
        <w:t>级</w:t>
      </w:r>
      <w:r>
        <w:rPr>
          <w:rFonts w:hint="eastAsia" w:ascii="仿宋" w:hAnsi="仿宋" w:eastAsia="仿宋" w:cs="仿宋"/>
          <w:color w:val="000000" w:themeColor="text1"/>
          <w:szCs w:val="28"/>
          <w14:textFill>
            <w14:solidFill>
              <w14:schemeClr w14:val="tx1"/>
            </w14:solidFill>
          </w14:textFill>
        </w:rPr>
        <w:t>财政承担。</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第十四条 </w:t>
      </w:r>
      <w:r>
        <w:rPr>
          <w:rFonts w:hint="eastAsia" w:ascii="仿宋" w:hAnsi="仿宋" w:eastAsia="仿宋" w:cs="仿宋"/>
          <w:color w:val="000000" w:themeColor="text1"/>
          <w:szCs w:val="28"/>
          <w14:textFill>
            <w14:solidFill>
              <w14:schemeClr w14:val="tx1"/>
            </w14:solidFill>
          </w14:textFill>
        </w:rPr>
        <w:t>国家统一实施的普通高中免学杂费和国家助学金政策，所需经费由中央与地方财政按比例分担，省级财政统筹落实。免学杂费补助所需经费中央与地方按6:4分担；地方分担部分，省属学校经费由省财政负担，市县所属学校经费由市县财政承担。国家助学金执行中央财政每生每年平均2000元的标准，所需经费由中央与地方按6:4分担；地方分担部分，省属学校经费由省财政负担，市县所属学校经费由省与市县按7:3分担。</w:t>
      </w:r>
    </w:p>
    <w:p>
      <w:pPr>
        <w:topLinePunct/>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对普通高中因免学杂费、住宿费和教材费导致学校收入减少的部分，由财政按照免费学生人数及相应的免学杂费、住宿费和教材费标准给予补助，弥补学校运转出现的经费缺口。</w:t>
      </w:r>
      <w:r>
        <w:rPr>
          <w:rFonts w:hint="eastAsia" w:ascii="仿宋" w:hAnsi="仿宋" w:eastAsia="仿宋" w:cs="仿宋"/>
          <w:color w:val="000000" w:themeColor="text1"/>
          <w14:textFill>
            <w14:solidFill>
              <w14:schemeClr w14:val="tx1"/>
            </w14:solidFill>
          </w14:textFill>
        </w:rPr>
        <w:t>民办学校学杂费、住宿费、教材费标准高于补助的部分，学校可按规定继续向学生收取。</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第十五条 </w:t>
      </w:r>
      <w:r>
        <w:rPr>
          <w:rFonts w:hint="eastAsia" w:ascii="仿宋" w:hAnsi="仿宋" w:eastAsia="仿宋" w:cs="仿宋"/>
          <w:color w:val="000000" w:themeColor="text1"/>
          <w:szCs w:val="28"/>
          <w14:textFill>
            <w14:solidFill>
              <w14:schemeClr w14:val="tx1"/>
            </w14:solidFill>
          </w14:textFill>
        </w:rPr>
        <w:t>省级财政会同有关部门在收到转移支付预算（含提前下达预计数）后，按规定合理分配、及时下达，并抄送财政部</w:t>
      </w:r>
      <w:r>
        <w:rPr>
          <w:rFonts w:hint="eastAsia" w:ascii="仿宋" w:hAnsi="仿宋" w:eastAsia="仿宋" w:cs="仿宋"/>
          <w:color w:val="000000" w:themeColor="text1"/>
          <w:szCs w:val="28"/>
          <w:lang w:eastAsia="zh-CN"/>
          <w14:textFill>
            <w14:solidFill>
              <w14:schemeClr w14:val="tx1"/>
            </w14:solidFill>
          </w14:textFill>
        </w:rPr>
        <w:t>海南监管局</w:t>
      </w:r>
      <w:r>
        <w:rPr>
          <w:rFonts w:hint="eastAsia" w:ascii="仿宋" w:hAnsi="仿宋" w:eastAsia="仿宋" w:cs="仿宋"/>
          <w:color w:val="000000" w:themeColor="text1"/>
          <w:szCs w:val="28"/>
          <w14:textFill>
            <w14:solidFill>
              <w14:schemeClr w14:val="tx1"/>
            </w14:solidFill>
          </w14:textFill>
        </w:rPr>
        <w:t>。省与市县财政部门应当加强预算管理，按有关规定及时足额拨付应负担的资金。</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第十六条 </w:t>
      </w:r>
      <w:r>
        <w:rPr>
          <w:rFonts w:hint="eastAsia" w:ascii="仿宋" w:hAnsi="仿宋" w:eastAsia="仿宋" w:cs="仿宋"/>
          <w:color w:val="000000" w:themeColor="text1"/>
          <w:szCs w:val="28"/>
          <w14:textFill>
            <w14:solidFill>
              <w14:schemeClr w14:val="tx1"/>
            </w14:solidFill>
          </w14:textFill>
        </w:rPr>
        <w:t>服兵役高等学校学生国家教育资助资金采取“当年先行预拨，次年据实结算”的办法，由省财政厅、省教育厅根据中央财政拨付情况，按照全国学生资助信息管理系统审核通过的相关数据，对各高校</w:t>
      </w:r>
      <w:r>
        <w:rPr>
          <w:rFonts w:hint="eastAsia" w:ascii="仿宋" w:hAnsi="仿宋" w:eastAsia="仿宋" w:cs="仿宋"/>
          <w:color w:val="000000" w:themeColor="text1"/>
          <w:szCs w:val="28"/>
          <w:lang w:eastAsia="zh-CN"/>
          <w14:textFill>
            <w14:solidFill>
              <w14:schemeClr w14:val="tx1"/>
            </w14:solidFill>
          </w14:textFill>
        </w:rPr>
        <w:t>上一年度</w:t>
      </w:r>
      <w:r>
        <w:rPr>
          <w:rFonts w:hint="eastAsia" w:ascii="仿宋" w:hAnsi="仿宋" w:eastAsia="仿宋" w:cs="仿宋"/>
          <w:color w:val="000000" w:themeColor="text1"/>
          <w:szCs w:val="28"/>
          <w14:textFill>
            <w14:solidFill>
              <w14:schemeClr w14:val="tx1"/>
            </w14:solidFill>
          </w14:textFill>
        </w:rPr>
        <w:t>实际支出金额进行清算，并以上一年实际支出金额为基数，提前下拨各高校当年预算资金。</w:t>
      </w:r>
    </w:p>
    <w:p>
      <w:pPr>
        <w:topLinePunct/>
        <w:snapToGrid/>
        <w:spacing w:beforeLines="100" w:afterLines="100" w:line="578" w:lineRule="exact"/>
        <w:jc w:val="center"/>
        <w:rPr>
          <w:rFonts w:ascii="Times New Roman" w:hAnsi="Times New Roman" w:eastAsia="黑体"/>
          <w:color w:val="000000" w:themeColor="text1"/>
          <w14:textFill>
            <w14:solidFill>
              <w14:schemeClr w14:val="tx1"/>
            </w14:solidFill>
          </w14:textFill>
        </w:rPr>
      </w:pPr>
      <w:r>
        <w:rPr>
          <w:rFonts w:hint="eastAsia" w:ascii="Times New Roman" w:hAnsi="Times New Roman" w:eastAsia="黑体"/>
          <w:color w:val="000000" w:themeColor="text1"/>
          <w14:textFill>
            <w14:solidFill>
              <w14:schemeClr w14:val="tx1"/>
            </w14:solidFill>
          </w14:textFill>
        </w:rPr>
        <w:t>第四章</w:t>
      </w:r>
      <w:r>
        <w:rPr>
          <w:rFonts w:ascii="Times New Roman" w:hAnsi="Times New Roman" w:eastAsia="黑体"/>
          <w:color w:val="000000" w:themeColor="text1"/>
          <w14:textFill>
            <w14:solidFill>
              <w14:schemeClr w14:val="tx1"/>
            </w14:solidFill>
          </w14:textFill>
        </w:rPr>
        <w:t xml:space="preserve"> </w:t>
      </w:r>
      <w:r>
        <w:rPr>
          <w:rFonts w:hint="eastAsia" w:ascii="Times New Roman" w:hAnsi="Times New Roman" w:eastAsia="黑体"/>
          <w:color w:val="000000" w:themeColor="text1"/>
          <w14:textFill>
            <w14:solidFill>
              <w14:schemeClr w14:val="tx1"/>
            </w14:solidFill>
          </w14:textFill>
        </w:rPr>
        <w:t>资金管理和监督</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第十七条 </w:t>
      </w:r>
      <w:r>
        <w:rPr>
          <w:rFonts w:hint="eastAsia" w:ascii="仿宋" w:hAnsi="仿宋" w:eastAsia="仿宋" w:cs="仿宋"/>
          <w:color w:val="000000" w:themeColor="text1"/>
          <w:szCs w:val="28"/>
          <w14:textFill>
            <w14:solidFill>
              <w14:schemeClr w14:val="tx1"/>
            </w14:solidFill>
          </w14:textFill>
        </w:rPr>
        <w:t>各级财政、教育、人力资源和社会保障部门要统筹安排上级补助资金和本级应承担的资金，确保足额配套、及时拨付到位。</w:t>
      </w:r>
      <w:r>
        <w:rPr>
          <w:rFonts w:hint="eastAsia" w:ascii="仿宋" w:hAnsi="仿宋" w:eastAsia="仿宋" w:cs="仿宋"/>
          <w:vanish/>
          <w:color w:val="000000" w:themeColor="text1"/>
          <w14:textFill>
            <w14:solidFill>
              <w14:schemeClr w14:val="tx1"/>
            </w14:solidFill>
          </w14:textFill>
        </w:rPr>
        <w:t>省属公办学校学生资助资金每年由省财政厅通过年初学生资助专项部门预算的一定比例批复下达至各校，民办省属学校资金划转至省教育厅，由省教育拨付给各校，市县的省级配套资金由省财政厅拨付至各市县。</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vanish/>
          <w:color w:val="000000" w:themeColor="text1"/>
          <w14:textFill>
            <w14:solidFill>
              <w14:schemeClr w14:val="tx1"/>
            </w14:solidFill>
          </w14:textFill>
        </w:rPr>
        <w:t>省属公办学校学生资助资金每年由省财政厅通过年初学生资助专项部门预算的一定比例批复下达至各校，民办省属学校资金划转至省教育厅，由省教育拨付给各校，市县的省级配套资金由省财政厅拨付至各市县。</w:t>
      </w:r>
      <w:r>
        <w:rPr>
          <w:rFonts w:hint="eastAsia" w:ascii="仿宋" w:hAnsi="仿宋" w:eastAsia="仿宋" w:cs="仿宋"/>
          <w:b/>
          <w:color w:val="000000" w:themeColor="text1"/>
          <w:szCs w:val="28"/>
          <w14:textFill>
            <w14:solidFill>
              <w14:schemeClr w14:val="tx1"/>
            </w14:solidFill>
          </w14:textFill>
        </w:rPr>
        <w:t xml:space="preserve">第十八条 </w:t>
      </w:r>
      <w:r>
        <w:rPr>
          <w:rFonts w:hint="eastAsia" w:ascii="仿宋" w:hAnsi="仿宋" w:eastAsia="仿宋" w:cs="仿宋"/>
          <w:color w:val="000000" w:themeColor="text1"/>
          <w:szCs w:val="28"/>
          <w14:textFill>
            <w14:solidFill>
              <w14:schemeClr w14:val="tx1"/>
            </w14:solidFill>
          </w14:textFill>
        </w:rPr>
        <w:t>学生资助资金纳入各级预算管理，</w:t>
      </w:r>
      <w:r>
        <w:rPr>
          <w:rFonts w:hint="eastAsia" w:ascii="仿宋" w:hAnsi="仿宋" w:eastAsia="仿宋" w:cs="仿宋"/>
          <w:color w:val="000000" w:themeColor="text1"/>
          <w:szCs w:val="32"/>
          <w14:textFill>
            <w14:solidFill>
              <w14:schemeClr w14:val="tx1"/>
            </w14:solidFill>
          </w14:textFill>
        </w:rPr>
        <w:t>实行分账核算，专款专用。</w:t>
      </w:r>
      <w:r>
        <w:rPr>
          <w:rFonts w:hint="eastAsia" w:ascii="仿宋" w:hAnsi="仿宋" w:eastAsia="仿宋" w:cs="仿宋"/>
          <w:color w:val="000000" w:themeColor="text1"/>
          <w:szCs w:val="28"/>
          <w14:textFill>
            <w14:solidFill>
              <w14:schemeClr w14:val="tx1"/>
            </w14:solidFill>
          </w14:textFill>
        </w:rPr>
        <w:t>各级财政、教育、人力资源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社会保障等部门</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单位</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要按照预算管理有关规定加强学生资助资金预算编制、执行、决算等管理。中等职业学校</w:t>
      </w:r>
      <w:r>
        <w:rPr>
          <w:rFonts w:hint="eastAsia" w:ascii="仿宋" w:hAnsi="仿宋" w:eastAsia="仿宋" w:cs="仿宋"/>
          <w:color w:val="000000" w:themeColor="text1"/>
          <w:szCs w:val="28"/>
          <w:lang w:val="en-US"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含技工院校</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免学费、普通高中免学杂费和</w:t>
      </w:r>
      <w:r>
        <w:rPr>
          <w:rFonts w:hint="eastAsia" w:ascii="仿宋" w:hAnsi="仿宋" w:eastAsia="仿宋" w:cs="仿宋"/>
          <w:color w:val="000000" w:themeColor="text1"/>
          <w:szCs w:val="28"/>
          <w:lang w:val="en-US" w:eastAsia="zh-CN"/>
          <w14:textFill>
            <w14:solidFill>
              <w14:schemeClr w14:val="tx1"/>
            </w14:solidFill>
          </w14:textFill>
        </w:rPr>
        <w:t>高校</w:t>
      </w:r>
      <w:r>
        <w:rPr>
          <w:rFonts w:hint="eastAsia" w:ascii="仿宋" w:hAnsi="仿宋" w:eastAsia="仿宋" w:cs="仿宋"/>
          <w:color w:val="000000" w:themeColor="text1"/>
          <w:szCs w:val="28"/>
          <w14:textFill>
            <w14:solidFill>
              <w14:schemeClr w14:val="tx1"/>
            </w14:solidFill>
          </w14:textFill>
        </w:rPr>
        <w:t>自主就业退役士兵学费减免、应征入伍服兵役学生复学后学费减免的资助资金</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是补助学校因</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减</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免学</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杂</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费而减少的收入</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由学校纳入预算按规定管理和使用。</w:t>
      </w:r>
      <w:r>
        <w:rPr>
          <w:rFonts w:hint="eastAsia" w:ascii="仿宋" w:hAnsi="仿宋" w:eastAsia="仿宋" w:cs="仿宋"/>
          <w:vanish/>
          <w:color w:val="000000" w:themeColor="text1"/>
          <w14:textFill>
            <w14:solidFill>
              <w14:schemeClr w14:val="tx1"/>
            </w14:solidFill>
          </w14:textFill>
        </w:rPr>
        <w:t>省属公办学校学生资助资金每年由省财政厅通过年初学生资助专项部门预算的一定比例批复下达至各校，民办省属学校资金划转至省教育厅，由省教育拨付给各校，市县的省级配套资金由省财政厅拨付至各市县。</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第十九条 </w:t>
      </w:r>
      <w:r>
        <w:rPr>
          <w:rFonts w:hint="eastAsia" w:ascii="仿宋" w:hAnsi="仿宋" w:eastAsia="仿宋" w:cs="仿宋"/>
          <w:color w:val="000000" w:themeColor="text1"/>
          <w:szCs w:val="28"/>
          <w14:textFill>
            <w14:solidFill>
              <w14:schemeClr w14:val="tx1"/>
            </w14:solidFill>
          </w14:textFill>
        </w:rPr>
        <w:t>各级教育、人力资源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社会保障部门要加强资金发放、执行管理，做好基础数据的审核工作，</w:t>
      </w:r>
      <w:r>
        <w:rPr>
          <w:rFonts w:hint="eastAsia" w:ascii="仿宋" w:hAnsi="仿宋" w:eastAsia="仿宋" w:cs="仿宋"/>
          <w:color w:val="000000" w:themeColor="text1"/>
          <w:szCs w:val="28"/>
          <w:lang w:eastAsia="zh-CN"/>
          <w14:textFill>
            <w14:solidFill>
              <w14:schemeClr w14:val="tx1"/>
            </w14:solidFill>
          </w14:textFill>
        </w:rPr>
        <w:t>对上报的可能影响资金分配结果的有关数据和信息的真实性、准确性负责；</w:t>
      </w:r>
      <w:r>
        <w:rPr>
          <w:rFonts w:hint="eastAsia" w:ascii="仿宋" w:hAnsi="仿宋" w:eastAsia="仿宋" w:cs="仿宋"/>
          <w:color w:val="000000" w:themeColor="text1"/>
          <w:szCs w:val="28"/>
          <w14:textFill>
            <w14:solidFill>
              <w14:schemeClr w14:val="tx1"/>
            </w14:solidFill>
          </w14:textFill>
        </w:rPr>
        <w:t>健全学生资助机构</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组织学校做好家庭经济困难学生认定工作，确保应助尽助。各级各类学校要加强学生学籍、学生资助信息系统应用，规范档案管理，严格落实责任制，强化财务管理，制定学生资助资金管理使用办法。学校应将学生申请表、认定结果、资金发放等有关凭证和工作情况分年度建档备查。</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第二十条 </w:t>
      </w:r>
      <w:r>
        <w:rPr>
          <w:rFonts w:hint="eastAsia" w:ascii="仿宋" w:hAnsi="仿宋" w:eastAsia="仿宋" w:cs="仿宋"/>
          <w:color w:val="000000" w:themeColor="text1"/>
          <w:szCs w:val="28"/>
          <w14:textFill>
            <w14:solidFill>
              <w14:schemeClr w14:val="tx1"/>
            </w14:solidFill>
          </w14:textFill>
        </w:rPr>
        <w:t>各级财政、教育、人力资源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等部门要按照全面实施预算绩效管理的要求，建立健全全过程预算绩效管理机制，按规定科学合理设定绩效目标，对照绩效目标做好绩效监控、绩效评价，强化绩效结果运用，做好信息公开，提高资金使用效益。</w:t>
      </w:r>
    </w:p>
    <w:p>
      <w:pPr>
        <w:snapToGrid/>
        <w:spacing w:line="578" w:lineRule="exact"/>
        <w:ind w:firstLine="642" w:firstLineChars="200"/>
        <w:rPr>
          <w:rFonts w:hint="eastAsia" w:ascii="仿宋" w:hAnsi="仿宋" w:eastAsia="仿宋" w:cs="仿宋"/>
          <w:color w:val="000000" w:themeColor="text1"/>
          <w:szCs w:val="28"/>
          <w:lang w:eastAsia="zh-CN"/>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第二十一条 </w:t>
      </w:r>
      <w:r>
        <w:rPr>
          <w:rFonts w:hint="eastAsia" w:ascii="仿宋" w:hAnsi="仿宋" w:eastAsia="仿宋" w:cs="仿宋"/>
          <w:color w:val="000000" w:themeColor="text1"/>
          <w:szCs w:val="28"/>
          <w14:textFill>
            <w14:solidFill>
              <w14:schemeClr w14:val="tx1"/>
            </w14:solidFill>
          </w14:textFill>
        </w:rPr>
        <w:t>各级财政、教育、人力资源</w:t>
      </w:r>
      <w:r>
        <w:rPr>
          <w:rFonts w:hint="eastAsia" w:ascii="仿宋" w:hAnsi="仿宋" w:eastAsia="仿宋" w:cs="仿宋"/>
          <w:color w:val="000000" w:themeColor="text1"/>
          <w:szCs w:val="28"/>
          <w:lang w:eastAsia="zh-CN"/>
          <w14:textFill>
            <w14:solidFill>
              <w14:schemeClr w14:val="tx1"/>
            </w14:solidFill>
          </w14:textFill>
        </w:rPr>
        <w:t>和</w:t>
      </w:r>
      <w:r>
        <w:rPr>
          <w:rFonts w:hint="eastAsia" w:ascii="仿宋" w:hAnsi="仿宋" w:eastAsia="仿宋" w:cs="仿宋"/>
          <w:color w:val="000000" w:themeColor="text1"/>
          <w:szCs w:val="28"/>
          <w14:textFill>
            <w14:solidFill>
              <w14:schemeClr w14:val="tx1"/>
            </w14:solidFill>
          </w14:textFill>
        </w:rPr>
        <w:t>社会保障等部门（单位）及其工作人员在学生资助资金分配和使用过程中滥用职权、玩忽职守、徇私舞弊以及违反规定分配或挤占、挪用、虚列、套取学生资助资金的，</w:t>
      </w:r>
      <w:r>
        <w:rPr>
          <w:rFonts w:hint="eastAsia" w:ascii="仿宋" w:hAnsi="仿宋" w:eastAsia="仿宋" w:cs="仿宋"/>
          <w:color w:val="000000" w:themeColor="text1"/>
          <w:szCs w:val="28"/>
          <w:lang w:eastAsia="zh-CN"/>
          <w14:textFill>
            <w14:solidFill>
              <w14:schemeClr w14:val="tx1"/>
            </w14:solidFill>
          </w14:textFill>
        </w:rPr>
        <w:t>依法追究相应责任。</w:t>
      </w:r>
    </w:p>
    <w:p>
      <w:pPr>
        <w:snapToGrid/>
        <w:spacing w:line="578" w:lineRule="exact"/>
        <w:ind w:firstLine="640" w:firstLineChars="200"/>
        <w:rPr>
          <w:rFonts w:ascii="Times New Roman" w:hAnsi="Times New Roman"/>
          <w:bCs/>
          <w:color w:val="000000" w:themeColor="text1"/>
          <w:szCs w:val="28"/>
          <w:highlight w:val="yellow"/>
          <w14:textFill>
            <w14:solidFill>
              <w14:schemeClr w14:val="tx1"/>
            </w14:solidFill>
          </w14:textFill>
        </w:rPr>
      </w:pPr>
      <w:r>
        <w:rPr>
          <w:rFonts w:hint="eastAsia" w:ascii="仿宋" w:hAnsi="仿宋" w:eastAsia="仿宋" w:cs="仿宋"/>
          <w:color w:val="000000" w:themeColor="text1"/>
          <w:szCs w:val="28"/>
          <w:lang w:eastAsia="zh-CN"/>
          <w14:textFill>
            <w14:solidFill>
              <w14:schemeClr w14:val="tx1"/>
            </w14:solidFill>
          </w14:textFill>
        </w:rPr>
        <w:t>申报使用学生资助资金的部门、单位及个人在资金申报、使用过程中存在违法违规行为的，依</w:t>
      </w:r>
      <w:r>
        <w:rPr>
          <w:rFonts w:hint="eastAsia" w:ascii="仿宋" w:hAnsi="仿宋" w:eastAsia="仿宋" w:cs="仿宋"/>
          <w:color w:val="000000" w:themeColor="text1"/>
          <w:szCs w:val="28"/>
          <w14:textFill>
            <w14:solidFill>
              <w14:schemeClr w14:val="tx1"/>
            </w14:solidFill>
          </w14:textFill>
        </w:rPr>
        <w:t>照《中华人民共和国预算法》</w:t>
      </w:r>
      <w:r>
        <w:rPr>
          <w:rFonts w:hint="eastAsia" w:ascii="仿宋" w:hAnsi="仿宋" w:eastAsia="仿宋" w:cs="仿宋"/>
          <w:color w:val="000000" w:themeColor="text1"/>
          <w:szCs w:val="28"/>
          <w:lang w:eastAsia="zh-CN"/>
          <w14:textFill>
            <w14:solidFill>
              <w14:schemeClr w14:val="tx1"/>
            </w14:solidFill>
          </w14:textFill>
        </w:rPr>
        <w:t>及其实施条例、</w:t>
      </w:r>
      <w:r>
        <w:rPr>
          <w:rFonts w:hint="eastAsia" w:ascii="仿宋" w:hAnsi="仿宋" w:eastAsia="仿宋" w:cs="仿宋"/>
          <w:color w:val="000000" w:themeColor="text1"/>
          <w:szCs w:val="28"/>
          <w14:textFill>
            <w14:solidFill>
              <w14:schemeClr w14:val="tx1"/>
            </w14:solidFill>
          </w14:textFill>
        </w:rPr>
        <w:t>《财政违法行为处罚处分条例》等国家有关规定追究</w:t>
      </w:r>
      <w:r>
        <w:rPr>
          <w:rFonts w:hint="eastAsia" w:ascii="仿宋" w:hAnsi="仿宋" w:eastAsia="仿宋" w:cs="仿宋"/>
          <w:color w:val="000000" w:themeColor="text1"/>
          <w:szCs w:val="28"/>
          <w:lang w:eastAsia="zh-CN"/>
          <w14:textFill>
            <w14:solidFill>
              <w14:schemeClr w14:val="tx1"/>
            </w14:solidFill>
          </w14:textFill>
        </w:rPr>
        <w:t>相应</w:t>
      </w:r>
      <w:r>
        <w:rPr>
          <w:rFonts w:hint="eastAsia" w:ascii="仿宋" w:hAnsi="仿宋" w:eastAsia="仿宋" w:cs="仿宋"/>
          <w:color w:val="000000" w:themeColor="text1"/>
          <w:szCs w:val="28"/>
          <w14:textFill>
            <w14:solidFill>
              <w14:schemeClr w14:val="tx1"/>
            </w14:solidFill>
          </w14:textFill>
        </w:rPr>
        <w:t>责任。</w:t>
      </w:r>
    </w:p>
    <w:p>
      <w:pPr>
        <w:snapToGrid/>
        <w:spacing w:beforeLines="100" w:afterLines="100" w:line="578" w:lineRule="exact"/>
        <w:jc w:val="center"/>
        <w:rPr>
          <w:rFonts w:ascii="Times New Roman" w:hAnsi="Times New Roman" w:eastAsia="黑体"/>
          <w:color w:val="000000" w:themeColor="text1"/>
          <w:szCs w:val="28"/>
          <w14:textFill>
            <w14:solidFill>
              <w14:schemeClr w14:val="tx1"/>
            </w14:solidFill>
          </w14:textFill>
        </w:rPr>
      </w:pPr>
      <w:r>
        <w:rPr>
          <w:rFonts w:hint="eastAsia" w:ascii="Times New Roman" w:hAnsi="Times New Roman" w:eastAsia="黑体"/>
          <w:color w:val="000000" w:themeColor="text1"/>
          <w:szCs w:val="28"/>
          <w14:textFill>
            <w14:solidFill>
              <w14:schemeClr w14:val="tx1"/>
            </w14:solidFill>
          </w14:textFill>
        </w:rPr>
        <w:t>第五章</w:t>
      </w:r>
      <w:r>
        <w:rPr>
          <w:rFonts w:ascii="Times New Roman" w:hAnsi="Times New Roman" w:eastAsia="黑体"/>
          <w:color w:val="000000" w:themeColor="text1"/>
          <w:szCs w:val="28"/>
          <w14:textFill>
            <w14:solidFill>
              <w14:schemeClr w14:val="tx1"/>
            </w14:solidFill>
          </w14:textFill>
        </w:rPr>
        <w:t xml:space="preserve"> </w:t>
      </w:r>
      <w:r>
        <w:rPr>
          <w:rFonts w:hint="eastAsia" w:ascii="Times New Roman" w:hAnsi="Times New Roman" w:eastAsia="黑体"/>
          <w:color w:val="000000" w:themeColor="text1"/>
          <w:szCs w:val="28"/>
          <w14:textFill>
            <w14:solidFill>
              <w14:schemeClr w14:val="tx1"/>
            </w14:solidFill>
          </w14:textFill>
        </w:rPr>
        <w:t>附则</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第二十二条 </w:t>
      </w:r>
      <w:r>
        <w:rPr>
          <w:rFonts w:hint="eastAsia" w:ascii="仿宋" w:hAnsi="仿宋" w:eastAsia="仿宋" w:cs="仿宋"/>
          <w:color w:val="000000" w:themeColor="text1"/>
          <w:szCs w:val="28"/>
          <w14:textFill>
            <w14:solidFill>
              <w14:schemeClr w14:val="tx1"/>
            </w14:solidFill>
          </w14:textFill>
        </w:rPr>
        <w:t>各地各校要结合实际，通过勤工助学、“三助”岗位、“绿色通道”、校内资助、社会资助等方式完善学生资助体系。公办普通高校、普通高中要从事业收入中分别足额提取4%</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6%、3%—5%的经费用于资助学生，中等职业学校应从事业收入中提取一定比例的资金用于资助学生。民办学校应从学费收入中提取不少于5%的资金，用于奖励和资助学生。</w:t>
      </w:r>
    </w:p>
    <w:p>
      <w:pPr>
        <w:snapToGrid/>
        <w:spacing w:line="578" w:lineRule="exact"/>
        <w:ind w:firstLine="642" w:firstLineChars="200"/>
        <w:rPr>
          <w:rFonts w:hint="eastAsia" w:ascii="仿宋" w:hAnsi="仿宋" w:eastAsia="仿宋" w:cs="仿宋"/>
          <w:color w:val="000000" w:themeColor="text1"/>
          <w:szCs w:val="32"/>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第二十三条 </w:t>
      </w:r>
      <w:r>
        <w:rPr>
          <w:rFonts w:hint="eastAsia" w:ascii="仿宋" w:hAnsi="仿宋" w:eastAsia="仿宋" w:cs="仿宋"/>
          <w:color w:val="000000" w:themeColor="text1"/>
          <w:szCs w:val="32"/>
          <w14:textFill>
            <w14:solidFill>
              <w14:schemeClr w14:val="tx1"/>
            </w14:solidFill>
          </w14:textFill>
        </w:rPr>
        <w:t>各地要认真贯彻党中央、国务院关于</w:t>
      </w:r>
      <w:r>
        <w:rPr>
          <w:rFonts w:hint="eastAsia" w:ascii="仿宋" w:hAnsi="仿宋" w:eastAsia="仿宋" w:cs="仿宋"/>
          <w:color w:val="000000" w:themeColor="text1"/>
          <w:szCs w:val="32"/>
          <w:lang w:eastAsia="zh-CN"/>
          <w14:textFill>
            <w14:solidFill>
              <w14:schemeClr w14:val="tx1"/>
            </w14:solidFill>
          </w14:textFill>
        </w:rPr>
        <w:t>实现巩固拓展脱贫攻坚成果同</w:t>
      </w:r>
      <w:r>
        <w:rPr>
          <w:rFonts w:hint="eastAsia" w:ascii="仿宋" w:hAnsi="仿宋" w:eastAsia="仿宋" w:cs="仿宋"/>
          <w:color w:val="000000" w:themeColor="text1"/>
          <w:szCs w:val="32"/>
          <w14:textFill>
            <w14:solidFill>
              <w14:schemeClr w14:val="tx1"/>
            </w14:solidFill>
          </w14:textFill>
        </w:rPr>
        <w:t>乡村振兴</w:t>
      </w:r>
      <w:r>
        <w:rPr>
          <w:rFonts w:hint="eastAsia" w:ascii="仿宋" w:hAnsi="仿宋" w:eastAsia="仿宋" w:cs="仿宋"/>
          <w:color w:val="000000" w:themeColor="text1"/>
          <w:szCs w:val="32"/>
          <w:lang w:eastAsia="zh-CN"/>
          <w14:textFill>
            <w14:solidFill>
              <w14:schemeClr w14:val="tx1"/>
            </w14:solidFill>
          </w14:textFill>
        </w:rPr>
        <w:t>有效衔接等</w:t>
      </w:r>
      <w:r>
        <w:rPr>
          <w:rFonts w:hint="eastAsia" w:ascii="仿宋" w:hAnsi="仿宋" w:eastAsia="仿宋" w:cs="仿宋"/>
          <w:color w:val="000000" w:themeColor="text1"/>
          <w:szCs w:val="32"/>
          <w14:textFill>
            <w14:solidFill>
              <w14:schemeClr w14:val="tx1"/>
            </w14:solidFill>
          </w14:textFill>
        </w:rPr>
        <w:t>决策部署，在分配相关资金时，结合实际向</w:t>
      </w:r>
      <w:r>
        <w:rPr>
          <w:rFonts w:hint="eastAsia" w:ascii="仿宋" w:hAnsi="仿宋" w:eastAsia="仿宋" w:cs="仿宋"/>
          <w:color w:val="000000" w:themeColor="text1"/>
          <w:szCs w:val="32"/>
          <w:lang w:eastAsia="zh-CN"/>
          <w14:textFill>
            <w14:solidFill>
              <w14:schemeClr w14:val="tx1"/>
            </w14:solidFill>
          </w14:textFill>
        </w:rPr>
        <w:t>脱贫</w:t>
      </w:r>
      <w:r>
        <w:rPr>
          <w:rFonts w:hint="eastAsia" w:ascii="仿宋" w:hAnsi="仿宋" w:eastAsia="仿宋" w:cs="仿宋"/>
          <w:color w:val="000000" w:themeColor="text1"/>
          <w:szCs w:val="32"/>
          <w14:textFill>
            <w14:solidFill>
              <w14:schemeClr w14:val="tx1"/>
            </w14:solidFill>
          </w14:textFill>
        </w:rPr>
        <w:t>地区倾斜。</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第二十四条 </w:t>
      </w:r>
      <w:r>
        <w:rPr>
          <w:rFonts w:hint="eastAsia" w:ascii="仿宋" w:hAnsi="仿宋" w:eastAsia="仿宋" w:cs="仿宋"/>
          <w:color w:val="000000" w:themeColor="text1"/>
          <w:szCs w:val="28"/>
          <w14:textFill>
            <w14:solidFill>
              <w14:schemeClr w14:val="tx1"/>
            </w14:solidFill>
          </w14:textFill>
        </w:rPr>
        <w:t>各地各校要鼓励企业、社会团体、个人在学校设立奖学金、助学金。</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第二十五条 </w:t>
      </w:r>
      <w:r>
        <w:rPr>
          <w:rFonts w:hint="eastAsia" w:ascii="仿宋" w:hAnsi="仿宋" w:eastAsia="仿宋" w:cs="仿宋"/>
          <w:color w:val="000000" w:themeColor="text1"/>
          <w:szCs w:val="28"/>
          <w14:textFill>
            <w14:solidFill>
              <w14:schemeClr w14:val="tx1"/>
            </w14:solidFill>
          </w14:textFill>
        </w:rPr>
        <w:t>各项学生资助政策涉及的申请、评审、发放、管理等工作按照《学生资助资金管理实施细则》（见附件）执行。</w:t>
      </w:r>
    </w:p>
    <w:p>
      <w:pPr>
        <w:snapToGrid/>
        <w:spacing w:line="578" w:lineRule="exact"/>
        <w:ind w:firstLine="642"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b/>
          <w:color w:val="000000" w:themeColor="text1"/>
          <w:szCs w:val="28"/>
          <w14:textFill>
            <w14:solidFill>
              <w14:schemeClr w14:val="tx1"/>
            </w14:solidFill>
          </w14:textFill>
        </w:rPr>
        <w:t xml:space="preserve">第二十六条 </w:t>
      </w:r>
      <w:r>
        <w:rPr>
          <w:rFonts w:hint="eastAsia" w:ascii="仿宋" w:hAnsi="仿宋" w:eastAsia="仿宋" w:cs="仿宋"/>
          <w:color w:val="000000" w:themeColor="text1"/>
          <w:szCs w:val="28"/>
          <w14:textFill>
            <w14:solidFill>
              <w14:schemeClr w14:val="tx1"/>
            </w14:solidFill>
          </w14:textFill>
        </w:rPr>
        <w:t>本办法由省财政厅、省教育厅、</w:t>
      </w:r>
      <w:r>
        <w:rPr>
          <w:rFonts w:hint="eastAsia" w:ascii="仿宋" w:hAnsi="仿宋" w:eastAsia="仿宋" w:cs="仿宋"/>
          <w:color w:val="000000" w:themeColor="text1"/>
          <w:szCs w:val="28"/>
          <w:lang w:eastAsia="zh-CN"/>
          <w14:textFill>
            <w14:solidFill>
              <w14:schemeClr w14:val="tx1"/>
            </w14:solidFill>
          </w14:textFill>
        </w:rPr>
        <w:t>省人力资源和社会保障厅</w:t>
      </w:r>
      <w:r>
        <w:rPr>
          <w:rFonts w:hint="eastAsia" w:ascii="仿宋" w:hAnsi="仿宋" w:eastAsia="仿宋" w:cs="仿宋"/>
          <w:color w:val="000000" w:themeColor="text1"/>
          <w:szCs w:val="28"/>
          <w14:textFill>
            <w14:solidFill>
              <w14:schemeClr w14:val="tx1"/>
            </w14:solidFill>
          </w14:textFill>
        </w:rPr>
        <w:t>、省退役军人事务厅、省军区动员局按职责负责解释。</w:t>
      </w:r>
    </w:p>
    <w:p>
      <w:pPr>
        <w:snapToGrid/>
        <w:spacing w:line="578" w:lineRule="exact"/>
        <w:ind w:firstLine="64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第二十</w:t>
      </w:r>
      <w:r>
        <w:rPr>
          <w:rFonts w:hint="eastAsia" w:ascii="仿宋" w:hAnsi="仿宋" w:eastAsia="仿宋" w:cs="仿宋"/>
          <w:b/>
          <w:color w:val="000000" w:themeColor="text1"/>
          <w:szCs w:val="28"/>
          <w14:textFill>
            <w14:solidFill>
              <w14:schemeClr w14:val="tx1"/>
            </w14:solidFill>
          </w14:textFill>
        </w:rPr>
        <w:t>七</w:t>
      </w:r>
      <w:r>
        <w:rPr>
          <w:rFonts w:hint="eastAsia" w:ascii="仿宋" w:hAnsi="仿宋" w:eastAsia="仿宋" w:cs="仿宋"/>
          <w:b/>
          <w:color w:val="000000" w:themeColor="text1"/>
          <w14:textFill>
            <w14:solidFill>
              <w14:schemeClr w14:val="tx1"/>
            </w14:solidFill>
          </w14:textFill>
        </w:rPr>
        <w:t xml:space="preserve">条 </w:t>
      </w:r>
      <w:r>
        <w:rPr>
          <w:rFonts w:hint="eastAsia" w:ascii="仿宋" w:hAnsi="仿宋" w:eastAsia="仿宋" w:cs="仿宋"/>
          <w:color w:val="000000" w:themeColor="text1"/>
          <w14:textFill>
            <w14:solidFill>
              <w14:schemeClr w14:val="tx1"/>
            </w14:solidFill>
          </w14:textFill>
        </w:rPr>
        <w:t>本办法自</w:t>
      </w:r>
      <w:r>
        <w:rPr>
          <w:rFonts w:hint="eastAsia" w:ascii="仿宋" w:hAnsi="仿宋" w:eastAsia="仿宋" w:cs="仿宋"/>
          <w:color w:val="000000" w:themeColor="text1"/>
          <w:lang w:val="en-US" w:eastAsia="zh-CN"/>
          <w14:textFill>
            <w14:solidFill>
              <w14:schemeClr w14:val="tx1"/>
            </w14:solidFill>
          </w14:textFill>
        </w:rPr>
        <w:t>2024年1月1日</w:t>
      </w:r>
      <w:r>
        <w:rPr>
          <w:rFonts w:hint="eastAsia" w:ascii="仿宋" w:hAnsi="仿宋" w:eastAsia="仿宋" w:cs="仿宋"/>
          <w:color w:val="000000" w:themeColor="text1"/>
          <w14:textFill>
            <w14:solidFill>
              <w14:schemeClr w14:val="tx1"/>
            </w14:solidFill>
          </w14:textFill>
        </w:rPr>
        <w:t>起施行</w:t>
      </w:r>
      <w:r>
        <w:rPr>
          <w:rFonts w:hint="eastAsia" w:ascii="仿宋" w:hAnsi="仿宋" w:eastAsia="仿宋" w:cs="仿宋"/>
          <w:color w:val="000000" w:themeColor="text1"/>
          <w:lang w:eastAsia="zh-CN"/>
          <w14:textFill>
            <w14:solidFill>
              <w14:schemeClr w14:val="tx1"/>
            </w14:solidFill>
          </w14:textFill>
        </w:rPr>
        <w:t>，有效期</w:t>
      </w:r>
      <w:r>
        <w:rPr>
          <w:rFonts w:hint="eastAsia" w:ascii="仿宋" w:hAnsi="仿宋" w:eastAsia="仿宋" w:cs="仿宋"/>
          <w:color w:val="000000" w:themeColor="text1"/>
          <w:lang w:val="en-US" w:eastAsia="zh-CN"/>
          <w14:textFill>
            <w14:solidFill>
              <w14:schemeClr w14:val="tx1"/>
            </w14:solidFill>
          </w14:textFill>
        </w:rPr>
        <w:t>5年</w:t>
      </w:r>
      <w:r>
        <w:rPr>
          <w:rFonts w:hint="eastAsia" w:ascii="仿宋" w:hAnsi="仿宋" w:eastAsia="仿宋" w:cs="仿宋"/>
          <w:color w:val="000000" w:themeColor="text1"/>
          <w14:textFill>
            <w14:solidFill>
              <w14:schemeClr w14:val="tx1"/>
            </w14:solidFill>
          </w14:textFill>
        </w:rPr>
        <w:t>。《海南省财政厅海南省教育厅关于印发&lt;海南省普通本科高校、高等职业学校国家奖学金管理实施细则&gt;的通知》（琼财教〔2007〕1286号）、《海南省财政厅海南省教育厅关于印发&lt;海南省普通本科高校、高等职业学校国家励志奖学金管理实施细则&gt;的通知》（琼财教〔2007〕1287号）、《海南省财政厅海南省教育厅关于印发&lt;海南省普通本科高校、高等职业学校国家助学金管理实施细则&gt;的通知》（琼财教〔2007〕1285号）、《海南省财政厅海南省教育厅关于印发&lt;海南省普通高等学校毕业生学费和国家助学贷款代偿暂行办法&gt;的通知》（琼财教〔2016〕1132号）、《海南省财政厅海南省教育厅关于印发&lt;海南省研究生学业奖学金管理暂行办法&gt;的通知》（琼财教〔2014〕1527号）、《海南省财政厅海南省教育厅关于印发&lt;海南省研究生国家助学金管理暂行办法&gt;的通知》（琼财教〔2014〕1528号）、《海南省教育厅海南省财政厅关于印发&lt;海南省优秀贫困大学生奖学金管理办法&gt;的通知》（琼教计〔2003〕71号）、《海南省教育厅海南省人力资源和社会保障厅海南省财政厅关于印发海南省中等职业学校国家助学金及免除学费住宿费教材费管理实施细则的通知》（琼教勤助〔2017〕66号）、《海南省教育厅 海南省财政厅关于印发海南省普通高中国家助学金实施细则的通知》（琼教财〔2017〕61号）、《海南省财政厅</w:t>
      </w:r>
      <w:r>
        <w:rPr>
          <w:rFonts w:hint="eastAsia" w:ascii="仿宋" w:hAnsi="仿宋" w:eastAsia="仿宋" w:cs="仿宋"/>
          <w:color w:val="000000" w:themeColor="text1"/>
          <w:lang w:val="en-US" w:eastAsia="zh-CN"/>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海南省教育厅关于</w:t>
      </w:r>
      <w:r>
        <w:rPr>
          <w:rFonts w:hint="eastAsia" w:ascii="仿宋" w:hAnsi="仿宋" w:eastAsia="仿宋" w:cs="仿宋"/>
          <w:color w:val="000000" w:themeColor="text1"/>
          <w:lang w:eastAsia="zh-CN"/>
          <w14:textFill>
            <w14:solidFill>
              <w14:schemeClr w14:val="tx1"/>
            </w14:solidFill>
          </w14:textFill>
        </w:rPr>
        <w:t>提高博士生国家助学金资助标准</w:t>
      </w:r>
      <w:r>
        <w:rPr>
          <w:rFonts w:hint="eastAsia" w:ascii="仿宋" w:hAnsi="仿宋" w:eastAsia="仿宋" w:cs="仿宋"/>
          <w:color w:val="000000" w:themeColor="text1"/>
          <w14:textFill>
            <w14:solidFill>
              <w14:schemeClr w14:val="tx1"/>
            </w14:solidFill>
          </w14:textFill>
        </w:rPr>
        <w:t>的通知》（琼财教〔2017〕</w:t>
      </w:r>
      <w:r>
        <w:rPr>
          <w:rFonts w:hint="eastAsia" w:ascii="仿宋" w:hAnsi="仿宋" w:eastAsia="仿宋" w:cs="仿宋"/>
          <w:color w:val="000000" w:themeColor="text1"/>
          <w:lang w:val="en-US" w:eastAsia="zh-CN"/>
          <w14:textFill>
            <w14:solidFill>
              <w14:schemeClr w14:val="tx1"/>
            </w14:solidFill>
          </w14:textFill>
        </w:rPr>
        <w:t>532</w:t>
      </w:r>
      <w:r>
        <w:rPr>
          <w:rFonts w:hint="eastAsia" w:ascii="仿宋" w:hAnsi="仿宋" w:eastAsia="仿宋" w:cs="仿宋"/>
          <w:color w:val="000000" w:themeColor="text1"/>
          <w14:textFill>
            <w14:solidFill>
              <w14:schemeClr w14:val="tx1"/>
            </w14:solidFill>
          </w14:textFill>
        </w:rPr>
        <w:t>号）同时废止。</w:t>
      </w: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p>
    <w:p>
      <w:pPr>
        <w:snapToGrid/>
        <w:spacing w:line="578" w:lineRule="exact"/>
        <w:ind w:firstLine="640" w:firstLineChars="200"/>
        <w:rPr>
          <w:rFonts w:hint="eastAsia" w:ascii="仿宋" w:hAnsi="仿宋" w:eastAsia="仿宋" w:cs="仿宋"/>
          <w:color w:val="000000" w:themeColor="text1"/>
          <w:szCs w:val="28"/>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附：学生资助资金管理实施细则</w:t>
      </w:r>
    </w:p>
    <w:p>
      <w:pPr>
        <w:snapToGrid/>
        <w:rPr>
          <w:rFonts w:ascii="Times New Roman" w:hAnsi="Times New Roman"/>
          <w:color w:val="000000" w:themeColor="text1"/>
          <w:szCs w:val="28"/>
          <w14:textFill>
            <w14:solidFill>
              <w14:schemeClr w14:val="tx1"/>
            </w14:solidFill>
          </w14:textFill>
        </w:rPr>
      </w:pPr>
      <w:r>
        <w:rPr>
          <w:rFonts w:ascii="Times New Roman" w:hAnsi="Times New Roman"/>
          <w:color w:val="000000" w:themeColor="text1"/>
          <w:szCs w:val="28"/>
          <w14:textFill>
            <w14:solidFill>
              <w14:schemeClr w14:val="tx1"/>
            </w14:solidFill>
          </w14:textFill>
        </w:rPr>
        <w:br w:type="page"/>
      </w:r>
      <w:r>
        <w:rPr>
          <w:rFonts w:hint="eastAsia" w:ascii="Times New Roman" w:hAnsi="Times New Roman"/>
          <w:color w:val="000000" w:themeColor="text1"/>
          <w:szCs w:val="28"/>
          <w14:textFill>
            <w14:solidFill>
              <w14:schemeClr w14:val="tx1"/>
            </w14:solidFill>
          </w14:textFill>
        </w:rPr>
        <w:t>附</w:t>
      </w:r>
    </w:p>
    <w:p>
      <w:pPr>
        <w:jc w:val="center"/>
        <w:rPr>
          <w:rFonts w:ascii="Times New Roman" w:hAnsi="Times New Roman" w:eastAsia="方正小标宋_GBK"/>
          <w:sz w:val="44"/>
          <w:szCs w:val="44"/>
        </w:rPr>
      </w:pPr>
      <w:r>
        <w:rPr>
          <w:rFonts w:ascii="Times New Roman" w:hAnsi="Times New Roman" w:eastAsia="方正小标宋_GBK"/>
          <w:sz w:val="44"/>
          <w:szCs w:val="44"/>
        </w:rPr>
        <w:t>学生资助资金管理实施细则</w:t>
      </w:r>
    </w:p>
    <w:tbl>
      <w:tblPr>
        <w:tblStyle w:val="10"/>
        <w:tblW w:w="875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7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755" w:type="dxa"/>
            <w:gridSpan w:val="2"/>
          </w:tcPr>
          <w:p>
            <w:pPr>
              <w:jc w:val="center"/>
              <w:rPr>
                <w:rFonts w:ascii="Times New Roman" w:hAnsi="Times New Roman" w:eastAsia="黑体"/>
                <w:szCs w:val="32"/>
              </w:rPr>
            </w:pPr>
            <w:r>
              <w:rPr>
                <w:rFonts w:ascii="Times New Roman" w:hAnsi="黑体" w:eastAsia="黑体"/>
                <w:szCs w:val="32"/>
              </w:rPr>
              <w:t>高等教育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vAlign w:val="center"/>
          </w:tcPr>
          <w:p>
            <w:pPr>
              <w:jc w:val="center"/>
              <w:rPr>
                <w:rFonts w:ascii="Times New Roman" w:hAnsi="Times New Roman" w:eastAsia="仿宋"/>
                <w:szCs w:val="32"/>
              </w:rPr>
            </w:pPr>
            <w:r>
              <w:rPr>
                <w:rFonts w:ascii="Times New Roman" w:hAnsi="Times New Roman" w:eastAsia="仿宋"/>
                <w:szCs w:val="32"/>
              </w:rPr>
              <w:t>附1</w:t>
            </w:r>
          </w:p>
        </w:tc>
        <w:tc>
          <w:tcPr>
            <w:tcW w:w="7796" w:type="dxa"/>
            <w:vAlign w:val="center"/>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本专科生国家奖学金实施细则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附2</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本专科生国家励志奖学金实施细则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附3</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本专科生国家助学金实施细则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附4</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研究生国家奖学金实施细则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附5</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研究生学业奖学金实施细则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附6</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研究生国家助学金实施细则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附7</w:t>
            </w:r>
          </w:p>
        </w:tc>
        <w:tc>
          <w:tcPr>
            <w:tcW w:w="7796" w:type="dxa"/>
          </w:tcPr>
          <w:p>
            <w:pPr>
              <w:spacing w:line="560" w:lineRule="exact"/>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服兵役高等学校学生国家教育资助实施细则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附8</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海南省优秀贫困大学生奖学金</w:t>
            </w:r>
            <w:r>
              <w:rPr>
                <w:rFonts w:ascii="Times New Roman" w:hAnsi="Times New Roman" w:eastAsia="仿宋"/>
                <w:szCs w:val="32"/>
              </w:rPr>
              <w:t>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附9</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基层就业学费补偿国家助学贷款代偿实施细则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755" w:type="dxa"/>
            <w:gridSpan w:val="2"/>
          </w:tcPr>
          <w:p>
            <w:pPr>
              <w:jc w:val="center"/>
              <w:rPr>
                <w:rFonts w:ascii="Times New Roman" w:hAnsi="Times New Roman" w:eastAsia="方正小标宋简体"/>
                <w:szCs w:val="32"/>
              </w:rPr>
            </w:pPr>
            <w:r>
              <w:rPr>
                <w:rFonts w:ascii="Times New Roman" w:hAnsi="黑体" w:eastAsia="黑体"/>
                <w:szCs w:val="32"/>
              </w:rPr>
              <w:t>中等职业教育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w:t>
            </w:r>
            <w:r>
              <w:rPr>
                <w:rFonts w:hint="eastAsia" w:ascii="Times New Roman" w:hAnsi="Times New Roman" w:eastAsia="仿宋"/>
                <w:szCs w:val="32"/>
              </w:rPr>
              <w:t>10</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海南省中等职业教育国家奖学金实施细则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1</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中等职业教育国家助学金实施细则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2</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中等职业教育免学费实施细则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3</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海南省中等职业学校免住宿费、教材费实施细则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4</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海南省中等职业教育优秀学生奖学金实施细则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755" w:type="dxa"/>
            <w:gridSpan w:val="2"/>
          </w:tcPr>
          <w:p>
            <w:pPr>
              <w:jc w:val="center"/>
              <w:rPr>
                <w:rFonts w:ascii="Times New Roman" w:hAnsi="Times New Roman" w:eastAsia="方正小标宋简体"/>
                <w:szCs w:val="32"/>
              </w:rPr>
            </w:pPr>
            <w:r>
              <w:rPr>
                <w:rFonts w:ascii="Times New Roman" w:hAnsi="黑体" w:eastAsia="黑体"/>
                <w:szCs w:val="32"/>
              </w:rPr>
              <w:t>普通高中教育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5</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普通高中免学杂费实施细则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trPr>
        <w:tc>
          <w:tcPr>
            <w:tcW w:w="959" w:type="dxa"/>
          </w:tcPr>
          <w:p>
            <w:pPr>
              <w:jc w:val="center"/>
              <w:rPr>
                <w:rFonts w:ascii="Times New Roman" w:hAnsi="Times New Roman" w:eastAsia="仿宋"/>
                <w:szCs w:val="32"/>
              </w:rPr>
            </w:pPr>
            <w:r>
              <w:rPr>
                <w:rFonts w:ascii="Times New Roman" w:hAnsi="Times New Roman" w:eastAsia="仿宋"/>
                <w:szCs w:val="32"/>
              </w:rPr>
              <w:t>附1</w:t>
            </w:r>
            <w:r>
              <w:rPr>
                <w:rFonts w:hint="eastAsia" w:ascii="Times New Roman" w:hAnsi="Times New Roman" w:eastAsia="仿宋"/>
                <w:szCs w:val="32"/>
              </w:rPr>
              <w:t>6</w:t>
            </w:r>
          </w:p>
        </w:tc>
        <w:tc>
          <w:tcPr>
            <w:tcW w:w="7796" w:type="dxa"/>
          </w:tcPr>
          <w:p>
            <w:pPr>
              <w:jc w:val="center"/>
              <w:rPr>
                <w:rFonts w:ascii="Times New Roman" w:hAnsi="Times New Roman" w:eastAsia="仿宋"/>
                <w:szCs w:val="32"/>
              </w:rPr>
            </w:pPr>
            <w:r>
              <w:rPr>
                <w:rFonts w:hint="eastAsia" w:ascii="Times New Roman" w:hAnsi="Times New Roman" w:eastAsia="仿宋"/>
                <w:szCs w:val="32"/>
              </w:rPr>
              <w:t>海南省</w:t>
            </w:r>
            <w:r>
              <w:rPr>
                <w:rFonts w:ascii="Times New Roman" w:hAnsi="Times New Roman" w:eastAsia="仿宋"/>
                <w:szCs w:val="32"/>
              </w:rPr>
              <w:t>普通高中国家助学金实施细则</w:t>
            </w:r>
          </w:p>
        </w:tc>
      </w:tr>
    </w:tbl>
    <w:p>
      <w:pPr>
        <w:snapToGrid/>
        <w:rPr>
          <w:rFonts w:ascii="Times New Roman" w:hAnsi="Times New Roman"/>
          <w:color w:val="000000" w:themeColor="text1"/>
          <w14:textFill>
            <w14:solidFill>
              <w14:schemeClr w14:val="tx1"/>
            </w14:solidFill>
          </w14:textFill>
        </w:rPr>
      </w:pPr>
    </w:p>
    <w:sectPr>
      <w:footerReference r:id="rId5" w:type="default"/>
      <w:pgSz w:w="11906" w:h="16838"/>
      <w:pgMar w:top="1440" w:right="17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E2291"/>
    <w:multiLevelType w:val="singleLevel"/>
    <w:tmpl w:val="F7EE2291"/>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752"/>
    <w:rsid w:val="0000050D"/>
    <w:rsid w:val="00002BC2"/>
    <w:rsid w:val="00003378"/>
    <w:rsid w:val="000034A8"/>
    <w:rsid w:val="00013079"/>
    <w:rsid w:val="00013E51"/>
    <w:rsid w:val="000148A4"/>
    <w:rsid w:val="000237F0"/>
    <w:rsid w:val="00032EF7"/>
    <w:rsid w:val="00051298"/>
    <w:rsid w:val="00052003"/>
    <w:rsid w:val="000555AF"/>
    <w:rsid w:val="00056093"/>
    <w:rsid w:val="00060CE9"/>
    <w:rsid w:val="0006369A"/>
    <w:rsid w:val="000638CA"/>
    <w:rsid w:val="00063EB5"/>
    <w:rsid w:val="00064304"/>
    <w:rsid w:val="00064DDB"/>
    <w:rsid w:val="00065AF3"/>
    <w:rsid w:val="00067186"/>
    <w:rsid w:val="000677EC"/>
    <w:rsid w:val="00072532"/>
    <w:rsid w:val="000725FD"/>
    <w:rsid w:val="000756FA"/>
    <w:rsid w:val="00076B7D"/>
    <w:rsid w:val="00080F4E"/>
    <w:rsid w:val="00081873"/>
    <w:rsid w:val="000A2264"/>
    <w:rsid w:val="000A73C5"/>
    <w:rsid w:val="000B3A59"/>
    <w:rsid w:val="000B5785"/>
    <w:rsid w:val="000B6391"/>
    <w:rsid w:val="000B6C3A"/>
    <w:rsid w:val="000C18A3"/>
    <w:rsid w:val="000C2737"/>
    <w:rsid w:val="000C2C4D"/>
    <w:rsid w:val="000C36FD"/>
    <w:rsid w:val="000C4D5C"/>
    <w:rsid w:val="000C55E5"/>
    <w:rsid w:val="000D1609"/>
    <w:rsid w:val="000E0959"/>
    <w:rsid w:val="000E47E6"/>
    <w:rsid w:val="000E5DCA"/>
    <w:rsid w:val="000E61B7"/>
    <w:rsid w:val="000E7495"/>
    <w:rsid w:val="000F2C92"/>
    <w:rsid w:val="000F4981"/>
    <w:rsid w:val="000F5428"/>
    <w:rsid w:val="000F54CB"/>
    <w:rsid w:val="001018A9"/>
    <w:rsid w:val="0010284F"/>
    <w:rsid w:val="00102C99"/>
    <w:rsid w:val="0010795D"/>
    <w:rsid w:val="00111BE8"/>
    <w:rsid w:val="001136F1"/>
    <w:rsid w:val="00116827"/>
    <w:rsid w:val="0011740B"/>
    <w:rsid w:val="00122FFD"/>
    <w:rsid w:val="001252AB"/>
    <w:rsid w:val="00131294"/>
    <w:rsid w:val="00135472"/>
    <w:rsid w:val="00140A71"/>
    <w:rsid w:val="0014153A"/>
    <w:rsid w:val="00142E1F"/>
    <w:rsid w:val="001432CC"/>
    <w:rsid w:val="00151A50"/>
    <w:rsid w:val="00151DDF"/>
    <w:rsid w:val="00155D86"/>
    <w:rsid w:val="00161494"/>
    <w:rsid w:val="00166D2D"/>
    <w:rsid w:val="00171689"/>
    <w:rsid w:val="00180B2A"/>
    <w:rsid w:val="001833F2"/>
    <w:rsid w:val="00183443"/>
    <w:rsid w:val="0019443A"/>
    <w:rsid w:val="00196425"/>
    <w:rsid w:val="001972B5"/>
    <w:rsid w:val="00197D59"/>
    <w:rsid w:val="001A0A23"/>
    <w:rsid w:val="001A0D1D"/>
    <w:rsid w:val="001A3AD9"/>
    <w:rsid w:val="001A518D"/>
    <w:rsid w:val="001A7C6C"/>
    <w:rsid w:val="001B671B"/>
    <w:rsid w:val="001B723E"/>
    <w:rsid w:val="001B7B1A"/>
    <w:rsid w:val="001C2A58"/>
    <w:rsid w:val="001C2A84"/>
    <w:rsid w:val="001C332E"/>
    <w:rsid w:val="001C50AA"/>
    <w:rsid w:val="001D2346"/>
    <w:rsid w:val="001D2A9C"/>
    <w:rsid w:val="001D4E9C"/>
    <w:rsid w:val="001D63E7"/>
    <w:rsid w:val="001E0FB0"/>
    <w:rsid w:val="001E2A8B"/>
    <w:rsid w:val="001E58A4"/>
    <w:rsid w:val="001E628F"/>
    <w:rsid w:val="001F1FE6"/>
    <w:rsid w:val="001F6FE0"/>
    <w:rsid w:val="001F7E82"/>
    <w:rsid w:val="00202980"/>
    <w:rsid w:val="00204BC9"/>
    <w:rsid w:val="00205D20"/>
    <w:rsid w:val="00205F09"/>
    <w:rsid w:val="00210322"/>
    <w:rsid w:val="00212FD7"/>
    <w:rsid w:val="0022058B"/>
    <w:rsid w:val="00222581"/>
    <w:rsid w:val="00222C09"/>
    <w:rsid w:val="00223BEF"/>
    <w:rsid w:val="0022757D"/>
    <w:rsid w:val="00227A5E"/>
    <w:rsid w:val="00227A89"/>
    <w:rsid w:val="00230003"/>
    <w:rsid w:val="0023262F"/>
    <w:rsid w:val="002332FF"/>
    <w:rsid w:val="00234EC1"/>
    <w:rsid w:val="002363D0"/>
    <w:rsid w:val="0024083A"/>
    <w:rsid w:val="002452FF"/>
    <w:rsid w:val="00247243"/>
    <w:rsid w:val="00251219"/>
    <w:rsid w:val="00253EBA"/>
    <w:rsid w:val="0025566C"/>
    <w:rsid w:val="002648AD"/>
    <w:rsid w:val="002648AF"/>
    <w:rsid w:val="00265D1B"/>
    <w:rsid w:val="002707C5"/>
    <w:rsid w:val="0027624E"/>
    <w:rsid w:val="0028285A"/>
    <w:rsid w:val="002843CB"/>
    <w:rsid w:val="00284D40"/>
    <w:rsid w:val="00284D52"/>
    <w:rsid w:val="00292A6D"/>
    <w:rsid w:val="00294DC8"/>
    <w:rsid w:val="00297208"/>
    <w:rsid w:val="002A02A2"/>
    <w:rsid w:val="002A053F"/>
    <w:rsid w:val="002A1ADC"/>
    <w:rsid w:val="002A2FA0"/>
    <w:rsid w:val="002A5AA4"/>
    <w:rsid w:val="002A61A2"/>
    <w:rsid w:val="002A66B8"/>
    <w:rsid w:val="002A695B"/>
    <w:rsid w:val="002A73CA"/>
    <w:rsid w:val="002A7948"/>
    <w:rsid w:val="002B5453"/>
    <w:rsid w:val="002B5FCD"/>
    <w:rsid w:val="002B7EDF"/>
    <w:rsid w:val="002C065D"/>
    <w:rsid w:val="002C09CF"/>
    <w:rsid w:val="002C1618"/>
    <w:rsid w:val="002C51DD"/>
    <w:rsid w:val="002C622F"/>
    <w:rsid w:val="002C6DCD"/>
    <w:rsid w:val="002C774D"/>
    <w:rsid w:val="002C7C8F"/>
    <w:rsid w:val="002D1265"/>
    <w:rsid w:val="002D2942"/>
    <w:rsid w:val="002E1616"/>
    <w:rsid w:val="002E24E1"/>
    <w:rsid w:val="002E346A"/>
    <w:rsid w:val="002E3FD0"/>
    <w:rsid w:val="002E43B8"/>
    <w:rsid w:val="002E7171"/>
    <w:rsid w:val="002F70E8"/>
    <w:rsid w:val="002F7406"/>
    <w:rsid w:val="00306820"/>
    <w:rsid w:val="00310551"/>
    <w:rsid w:val="00315937"/>
    <w:rsid w:val="00320B67"/>
    <w:rsid w:val="00320F18"/>
    <w:rsid w:val="003252FF"/>
    <w:rsid w:val="003261C1"/>
    <w:rsid w:val="00335266"/>
    <w:rsid w:val="00336EC5"/>
    <w:rsid w:val="003417BD"/>
    <w:rsid w:val="0034340F"/>
    <w:rsid w:val="00344B54"/>
    <w:rsid w:val="00344CAA"/>
    <w:rsid w:val="00345211"/>
    <w:rsid w:val="00350CBE"/>
    <w:rsid w:val="0035124C"/>
    <w:rsid w:val="00355963"/>
    <w:rsid w:val="00356A73"/>
    <w:rsid w:val="00360232"/>
    <w:rsid w:val="0036171A"/>
    <w:rsid w:val="003620F7"/>
    <w:rsid w:val="003626C4"/>
    <w:rsid w:val="00363BFC"/>
    <w:rsid w:val="00365720"/>
    <w:rsid w:val="00372AF8"/>
    <w:rsid w:val="0037599F"/>
    <w:rsid w:val="00376061"/>
    <w:rsid w:val="00377895"/>
    <w:rsid w:val="00381648"/>
    <w:rsid w:val="00383B0A"/>
    <w:rsid w:val="0038553A"/>
    <w:rsid w:val="00386B21"/>
    <w:rsid w:val="00393C4D"/>
    <w:rsid w:val="00393CE8"/>
    <w:rsid w:val="00395672"/>
    <w:rsid w:val="003A0F22"/>
    <w:rsid w:val="003A2A1A"/>
    <w:rsid w:val="003B0DC3"/>
    <w:rsid w:val="003B2173"/>
    <w:rsid w:val="003B3996"/>
    <w:rsid w:val="003B6CAC"/>
    <w:rsid w:val="003B760A"/>
    <w:rsid w:val="003C387F"/>
    <w:rsid w:val="003C6BB6"/>
    <w:rsid w:val="003C6F0C"/>
    <w:rsid w:val="003C7F46"/>
    <w:rsid w:val="003D100B"/>
    <w:rsid w:val="003D2DF3"/>
    <w:rsid w:val="003D4AA5"/>
    <w:rsid w:val="003D61EF"/>
    <w:rsid w:val="003D6421"/>
    <w:rsid w:val="003F00B6"/>
    <w:rsid w:val="003F0432"/>
    <w:rsid w:val="0040416B"/>
    <w:rsid w:val="00411194"/>
    <w:rsid w:val="00411963"/>
    <w:rsid w:val="00414C28"/>
    <w:rsid w:val="004167F5"/>
    <w:rsid w:val="00416A01"/>
    <w:rsid w:val="00417AB3"/>
    <w:rsid w:val="00421C81"/>
    <w:rsid w:val="00430A05"/>
    <w:rsid w:val="00430F25"/>
    <w:rsid w:val="00432B0F"/>
    <w:rsid w:val="00434263"/>
    <w:rsid w:val="00434DC4"/>
    <w:rsid w:val="00440303"/>
    <w:rsid w:val="00446D51"/>
    <w:rsid w:val="00447D0E"/>
    <w:rsid w:val="004504CC"/>
    <w:rsid w:val="00453DB3"/>
    <w:rsid w:val="004540C1"/>
    <w:rsid w:val="00456E41"/>
    <w:rsid w:val="00457C0B"/>
    <w:rsid w:val="00460A18"/>
    <w:rsid w:val="00460B89"/>
    <w:rsid w:val="004614FF"/>
    <w:rsid w:val="00461797"/>
    <w:rsid w:val="00461A81"/>
    <w:rsid w:val="00462C93"/>
    <w:rsid w:val="00463C50"/>
    <w:rsid w:val="00463CFA"/>
    <w:rsid w:val="004728E9"/>
    <w:rsid w:val="00473466"/>
    <w:rsid w:val="004754C1"/>
    <w:rsid w:val="00477863"/>
    <w:rsid w:val="00482969"/>
    <w:rsid w:val="00483734"/>
    <w:rsid w:val="00486E8B"/>
    <w:rsid w:val="004902E4"/>
    <w:rsid w:val="0049046B"/>
    <w:rsid w:val="004A2EB3"/>
    <w:rsid w:val="004A54C4"/>
    <w:rsid w:val="004A59E5"/>
    <w:rsid w:val="004A64F9"/>
    <w:rsid w:val="004A73EC"/>
    <w:rsid w:val="004B350F"/>
    <w:rsid w:val="004B4291"/>
    <w:rsid w:val="004B785D"/>
    <w:rsid w:val="004C0618"/>
    <w:rsid w:val="004C58D2"/>
    <w:rsid w:val="004C74B3"/>
    <w:rsid w:val="004D0699"/>
    <w:rsid w:val="004D3CC1"/>
    <w:rsid w:val="004D65A2"/>
    <w:rsid w:val="004D7B3E"/>
    <w:rsid w:val="004E0358"/>
    <w:rsid w:val="004E3648"/>
    <w:rsid w:val="004E4A33"/>
    <w:rsid w:val="004E4F06"/>
    <w:rsid w:val="004E6542"/>
    <w:rsid w:val="004E6F0B"/>
    <w:rsid w:val="004F6221"/>
    <w:rsid w:val="004F653E"/>
    <w:rsid w:val="004F66E4"/>
    <w:rsid w:val="005040C0"/>
    <w:rsid w:val="00505C48"/>
    <w:rsid w:val="00507932"/>
    <w:rsid w:val="005105E1"/>
    <w:rsid w:val="0051281D"/>
    <w:rsid w:val="00512A1A"/>
    <w:rsid w:val="005141D0"/>
    <w:rsid w:val="00522FB6"/>
    <w:rsid w:val="0053095A"/>
    <w:rsid w:val="00531E73"/>
    <w:rsid w:val="005351BA"/>
    <w:rsid w:val="00542D2B"/>
    <w:rsid w:val="00546397"/>
    <w:rsid w:val="00546D19"/>
    <w:rsid w:val="005479D0"/>
    <w:rsid w:val="00552F9F"/>
    <w:rsid w:val="00557A84"/>
    <w:rsid w:val="00566027"/>
    <w:rsid w:val="00572F3C"/>
    <w:rsid w:val="00573E56"/>
    <w:rsid w:val="00574DE9"/>
    <w:rsid w:val="00575385"/>
    <w:rsid w:val="00575FB4"/>
    <w:rsid w:val="00580E46"/>
    <w:rsid w:val="005836F2"/>
    <w:rsid w:val="00583851"/>
    <w:rsid w:val="0058471F"/>
    <w:rsid w:val="00585980"/>
    <w:rsid w:val="00591955"/>
    <w:rsid w:val="00593D04"/>
    <w:rsid w:val="00594543"/>
    <w:rsid w:val="00594CB2"/>
    <w:rsid w:val="00594E34"/>
    <w:rsid w:val="00595B8E"/>
    <w:rsid w:val="00596134"/>
    <w:rsid w:val="005963C6"/>
    <w:rsid w:val="005975E7"/>
    <w:rsid w:val="005A04F9"/>
    <w:rsid w:val="005A1693"/>
    <w:rsid w:val="005A4F6B"/>
    <w:rsid w:val="005A5145"/>
    <w:rsid w:val="005A5989"/>
    <w:rsid w:val="005B0AD2"/>
    <w:rsid w:val="005B1494"/>
    <w:rsid w:val="005B244E"/>
    <w:rsid w:val="005B703D"/>
    <w:rsid w:val="005C0210"/>
    <w:rsid w:val="005C02B6"/>
    <w:rsid w:val="005C03F7"/>
    <w:rsid w:val="005C2810"/>
    <w:rsid w:val="005C67C4"/>
    <w:rsid w:val="005C6EBC"/>
    <w:rsid w:val="005C7662"/>
    <w:rsid w:val="005D0EF5"/>
    <w:rsid w:val="005D1FA4"/>
    <w:rsid w:val="005D39A8"/>
    <w:rsid w:val="005D3F00"/>
    <w:rsid w:val="005D3FC2"/>
    <w:rsid w:val="005E01AF"/>
    <w:rsid w:val="005E4253"/>
    <w:rsid w:val="005E6BD4"/>
    <w:rsid w:val="005F29FD"/>
    <w:rsid w:val="005F48C9"/>
    <w:rsid w:val="005F604B"/>
    <w:rsid w:val="00604398"/>
    <w:rsid w:val="0060498C"/>
    <w:rsid w:val="00606583"/>
    <w:rsid w:val="00610511"/>
    <w:rsid w:val="00610D7E"/>
    <w:rsid w:val="006110A9"/>
    <w:rsid w:val="00613589"/>
    <w:rsid w:val="0061790E"/>
    <w:rsid w:val="00622432"/>
    <w:rsid w:val="00625CB0"/>
    <w:rsid w:val="00627355"/>
    <w:rsid w:val="0063004F"/>
    <w:rsid w:val="00633E76"/>
    <w:rsid w:val="006424C9"/>
    <w:rsid w:val="00646132"/>
    <w:rsid w:val="00652999"/>
    <w:rsid w:val="00653390"/>
    <w:rsid w:val="006543CA"/>
    <w:rsid w:val="00657741"/>
    <w:rsid w:val="00657F13"/>
    <w:rsid w:val="006610D5"/>
    <w:rsid w:val="00663B92"/>
    <w:rsid w:val="00663C1D"/>
    <w:rsid w:val="006642D3"/>
    <w:rsid w:val="00664B56"/>
    <w:rsid w:val="00664DE8"/>
    <w:rsid w:val="00666F84"/>
    <w:rsid w:val="00667D77"/>
    <w:rsid w:val="00671B6F"/>
    <w:rsid w:val="00676309"/>
    <w:rsid w:val="00677C10"/>
    <w:rsid w:val="00680BB9"/>
    <w:rsid w:val="00683412"/>
    <w:rsid w:val="00683B68"/>
    <w:rsid w:val="006856BF"/>
    <w:rsid w:val="00685A9F"/>
    <w:rsid w:val="00693BDC"/>
    <w:rsid w:val="00696CD1"/>
    <w:rsid w:val="00696FBC"/>
    <w:rsid w:val="006A2586"/>
    <w:rsid w:val="006A5254"/>
    <w:rsid w:val="006A7145"/>
    <w:rsid w:val="006A7463"/>
    <w:rsid w:val="006B0BA3"/>
    <w:rsid w:val="006B1724"/>
    <w:rsid w:val="006B5290"/>
    <w:rsid w:val="006B620A"/>
    <w:rsid w:val="006B63A2"/>
    <w:rsid w:val="006B6FBC"/>
    <w:rsid w:val="006B794C"/>
    <w:rsid w:val="006C2880"/>
    <w:rsid w:val="006C3E15"/>
    <w:rsid w:val="006D06B9"/>
    <w:rsid w:val="006D17BB"/>
    <w:rsid w:val="006D259C"/>
    <w:rsid w:val="006D26C5"/>
    <w:rsid w:val="006D5872"/>
    <w:rsid w:val="006E07D4"/>
    <w:rsid w:val="006E263D"/>
    <w:rsid w:val="006E2802"/>
    <w:rsid w:val="006E2E6A"/>
    <w:rsid w:val="006E477C"/>
    <w:rsid w:val="006F5184"/>
    <w:rsid w:val="006F599E"/>
    <w:rsid w:val="006F71EE"/>
    <w:rsid w:val="0070006A"/>
    <w:rsid w:val="00701389"/>
    <w:rsid w:val="00702B9C"/>
    <w:rsid w:val="00704B60"/>
    <w:rsid w:val="00707E1C"/>
    <w:rsid w:val="007201B5"/>
    <w:rsid w:val="00720292"/>
    <w:rsid w:val="00721DE2"/>
    <w:rsid w:val="007221A3"/>
    <w:rsid w:val="00724409"/>
    <w:rsid w:val="00733278"/>
    <w:rsid w:val="00736121"/>
    <w:rsid w:val="007362FE"/>
    <w:rsid w:val="00736D73"/>
    <w:rsid w:val="00737259"/>
    <w:rsid w:val="00750BBB"/>
    <w:rsid w:val="00751448"/>
    <w:rsid w:val="007524B2"/>
    <w:rsid w:val="00754402"/>
    <w:rsid w:val="00754894"/>
    <w:rsid w:val="00761DB0"/>
    <w:rsid w:val="00766410"/>
    <w:rsid w:val="00767B4A"/>
    <w:rsid w:val="00776029"/>
    <w:rsid w:val="007770C3"/>
    <w:rsid w:val="00785ABD"/>
    <w:rsid w:val="007906A5"/>
    <w:rsid w:val="00790829"/>
    <w:rsid w:val="007927B0"/>
    <w:rsid w:val="00793277"/>
    <w:rsid w:val="00794BA2"/>
    <w:rsid w:val="00795B26"/>
    <w:rsid w:val="00796325"/>
    <w:rsid w:val="00796C2D"/>
    <w:rsid w:val="007A1A97"/>
    <w:rsid w:val="007A1CB1"/>
    <w:rsid w:val="007A3940"/>
    <w:rsid w:val="007A4395"/>
    <w:rsid w:val="007A7004"/>
    <w:rsid w:val="007A7DD9"/>
    <w:rsid w:val="007B0B9C"/>
    <w:rsid w:val="007B1FBA"/>
    <w:rsid w:val="007B309C"/>
    <w:rsid w:val="007B520B"/>
    <w:rsid w:val="007B6C0B"/>
    <w:rsid w:val="007B716E"/>
    <w:rsid w:val="007C0E10"/>
    <w:rsid w:val="007C4B25"/>
    <w:rsid w:val="007D04D8"/>
    <w:rsid w:val="007D1523"/>
    <w:rsid w:val="007D262C"/>
    <w:rsid w:val="007D328E"/>
    <w:rsid w:val="007D4BFD"/>
    <w:rsid w:val="007D4E4B"/>
    <w:rsid w:val="007D5B73"/>
    <w:rsid w:val="007D66BA"/>
    <w:rsid w:val="007D76FA"/>
    <w:rsid w:val="007E00AE"/>
    <w:rsid w:val="007E1DE7"/>
    <w:rsid w:val="007E23FD"/>
    <w:rsid w:val="007E3848"/>
    <w:rsid w:val="007F17AE"/>
    <w:rsid w:val="007F1B8A"/>
    <w:rsid w:val="007F6F7F"/>
    <w:rsid w:val="007F7574"/>
    <w:rsid w:val="00801D7E"/>
    <w:rsid w:val="008030C7"/>
    <w:rsid w:val="00805CAF"/>
    <w:rsid w:val="0081148E"/>
    <w:rsid w:val="00811932"/>
    <w:rsid w:val="00812A78"/>
    <w:rsid w:val="0081336A"/>
    <w:rsid w:val="008217E3"/>
    <w:rsid w:val="00821AD3"/>
    <w:rsid w:val="00822C94"/>
    <w:rsid w:val="0082375A"/>
    <w:rsid w:val="00823BDC"/>
    <w:rsid w:val="00826764"/>
    <w:rsid w:val="0083000B"/>
    <w:rsid w:val="008302A0"/>
    <w:rsid w:val="00831773"/>
    <w:rsid w:val="008336BE"/>
    <w:rsid w:val="00840888"/>
    <w:rsid w:val="008409AA"/>
    <w:rsid w:val="00843447"/>
    <w:rsid w:val="00844B7D"/>
    <w:rsid w:val="00845913"/>
    <w:rsid w:val="00856345"/>
    <w:rsid w:val="008575B1"/>
    <w:rsid w:val="0086022F"/>
    <w:rsid w:val="008608BE"/>
    <w:rsid w:val="00865CEB"/>
    <w:rsid w:val="008701FD"/>
    <w:rsid w:val="0087292C"/>
    <w:rsid w:val="00873316"/>
    <w:rsid w:val="00875AB2"/>
    <w:rsid w:val="00876CB9"/>
    <w:rsid w:val="008815C5"/>
    <w:rsid w:val="0088454C"/>
    <w:rsid w:val="00884E3D"/>
    <w:rsid w:val="008864C6"/>
    <w:rsid w:val="008A1D79"/>
    <w:rsid w:val="008A3E70"/>
    <w:rsid w:val="008A54D6"/>
    <w:rsid w:val="008A657E"/>
    <w:rsid w:val="008B13C8"/>
    <w:rsid w:val="008B1B4D"/>
    <w:rsid w:val="008B24D4"/>
    <w:rsid w:val="008B24E7"/>
    <w:rsid w:val="008B3863"/>
    <w:rsid w:val="008C44F0"/>
    <w:rsid w:val="008C55B0"/>
    <w:rsid w:val="008C67F0"/>
    <w:rsid w:val="008C79A1"/>
    <w:rsid w:val="008D206E"/>
    <w:rsid w:val="008E6CDE"/>
    <w:rsid w:val="008F171A"/>
    <w:rsid w:val="008F2536"/>
    <w:rsid w:val="008F2ADA"/>
    <w:rsid w:val="008F3BC0"/>
    <w:rsid w:val="008F5A18"/>
    <w:rsid w:val="008F5D22"/>
    <w:rsid w:val="00904801"/>
    <w:rsid w:val="00905565"/>
    <w:rsid w:val="00906347"/>
    <w:rsid w:val="009130CF"/>
    <w:rsid w:val="009145DB"/>
    <w:rsid w:val="00915881"/>
    <w:rsid w:val="0091676B"/>
    <w:rsid w:val="00921020"/>
    <w:rsid w:val="00922752"/>
    <w:rsid w:val="00923408"/>
    <w:rsid w:val="0092529B"/>
    <w:rsid w:val="00926D9B"/>
    <w:rsid w:val="0092723A"/>
    <w:rsid w:val="00930022"/>
    <w:rsid w:val="00930B35"/>
    <w:rsid w:val="0093274D"/>
    <w:rsid w:val="00932E14"/>
    <w:rsid w:val="0093356C"/>
    <w:rsid w:val="00933AF9"/>
    <w:rsid w:val="00933B34"/>
    <w:rsid w:val="00935B87"/>
    <w:rsid w:val="00940C1F"/>
    <w:rsid w:val="009410FD"/>
    <w:rsid w:val="00941C2E"/>
    <w:rsid w:val="00944434"/>
    <w:rsid w:val="009478BF"/>
    <w:rsid w:val="009538C9"/>
    <w:rsid w:val="00954127"/>
    <w:rsid w:val="00954482"/>
    <w:rsid w:val="0095517D"/>
    <w:rsid w:val="00955ACC"/>
    <w:rsid w:val="009606E7"/>
    <w:rsid w:val="00963BA0"/>
    <w:rsid w:val="00964656"/>
    <w:rsid w:val="00965CBB"/>
    <w:rsid w:val="00971C6D"/>
    <w:rsid w:val="0097203B"/>
    <w:rsid w:val="0097279D"/>
    <w:rsid w:val="00973C21"/>
    <w:rsid w:val="009742CD"/>
    <w:rsid w:val="0097758E"/>
    <w:rsid w:val="009838F2"/>
    <w:rsid w:val="009869F7"/>
    <w:rsid w:val="00986EBA"/>
    <w:rsid w:val="009876B2"/>
    <w:rsid w:val="009933F6"/>
    <w:rsid w:val="0099598B"/>
    <w:rsid w:val="00995DD9"/>
    <w:rsid w:val="009A18FF"/>
    <w:rsid w:val="009A686C"/>
    <w:rsid w:val="009B0B3E"/>
    <w:rsid w:val="009B159E"/>
    <w:rsid w:val="009B1BE9"/>
    <w:rsid w:val="009C049A"/>
    <w:rsid w:val="009C12CA"/>
    <w:rsid w:val="009C1DF9"/>
    <w:rsid w:val="009C3D5B"/>
    <w:rsid w:val="009C42B3"/>
    <w:rsid w:val="009C6E5E"/>
    <w:rsid w:val="009D528F"/>
    <w:rsid w:val="009E26FB"/>
    <w:rsid w:val="009E3001"/>
    <w:rsid w:val="009E71F7"/>
    <w:rsid w:val="009F25BF"/>
    <w:rsid w:val="009F589E"/>
    <w:rsid w:val="00A02F88"/>
    <w:rsid w:val="00A124B7"/>
    <w:rsid w:val="00A12E08"/>
    <w:rsid w:val="00A156E8"/>
    <w:rsid w:val="00A17C97"/>
    <w:rsid w:val="00A20E73"/>
    <w:rsid w:val="00A23A1A"/>
    <w:rsid w:val="00A2453A"/>
    <w:rsid w:val="00A24D0A"/>
    <w:rsid w:val="00A277B5"/>
    <w:rsid w:val="00A27886"/>
    <w:rsid w:val="00A3041E"/>
    <w:rsid w:val="00A35475"/>
    <w:rsid w:val="00A37A8C"/>
    <w:rsid w:val="00A4071B"/>
    <w:rsid w:val="00A40B34"/>
    <w:rsid w:val="00A5430C"/>
    <w:rsid w:val="00A6210D"/>
    <w:rsid w:val="00A63338"/>
    <w:rsid w:val="00A71C2E"/>
    <w:rsid w:val="00A77968"/>
    <w:rsid w:val="00A80DAE"/>
    <w:rsid w:val="00A85A3A"/>
    <w:rsid w:val="00A85C9A"/>
    <w:rsid w:val="00A86B0F"/>
    <w:rsid w:val="00A87693"/>
    <w:rsid w:val="00A87978"/>
    <w:rsid w:val="00AA128A"/>
    <w:rsid w:val="00AA7159"/>
    <w:rsid w:val="00AA7949"/>
    <w:rsid w:val="00AB145A"/>
    <w:rsid w:val="00AB5399"/>
    <w:rsid w:val="00AB771A"/>
    <w:rsid w:val="00AB7734"/>
    <w:rsid w:val="00AB7D20"/>
    <w:rsid w:val="00AC0094"/>
    <w:rsid w:val="00AC41BD"/>
    <w:rsid w:val="00AC451A"/>
    <w:rsid w:val="00AC4CEB"/>
    <w:rsid w:val="00AD1240"/>
    <w:rsid w:val="00AD19DE"/>
    <w:rsid w:val="00AD2D6D"/>
    <w:rsid w:val="00AD4595"/>
    <w:rsid w:val="00AD46EE"/>
    <w:rsid w:val="00AE0133"/>
    <w:rsid w:val="00AE3064"/>
    <w:rsid w:val="00AE31B7"/>
    <w:rsid w:val="00AE33C5"/>
    <w:rsid w:val="00AF13B7"/>
    <w:rsid w:val="00AF2485"/>
    <w:rsid w:val="00AF4197"/>
    <w:rsid w:val="00AF4723"/>
    <w:rsid w:val="00AF6C0E"/>
    <w:rsid w:val="00AF6FC6"/>
    <w:rsid w:val="00B001C3"/>
    <w:rsid w:val="00B006B0"/>
    <w:rsid w:val="00B024F1"/>
    <w:rsid w:val="00B04CE7"/>
    <w:rsid w:val="00B075DB"/>
    <w:rsid w:val="00B1064D"/>
    <w:rsid w:val="00B106DE"/>
    <w:rsid w:val="00B10733"/>
    <w:rsid w:val="00B10F93"/>
    <w:rsid w:val="00B176AD"/>
    <w:rsid w:val="00B208FB"/>
    <w:rsid w:val="00B243A5"/>
    <w:rsid w:val="00B261A6"/>
    <w:rsid w:val="00B27A31"/>
    <w:rsid w:val="00B31201"/>
    <w:rsid w:val="00B354A7"/>
    <w:rsid w:val="00B410C6"/>
    <w:rsid w:val="00B472A0"/>
    <w:rsid w:val="00B52B33"/>
    <w:rsid w:val="00B53119"/>
    <w:rsid w:val="00B53327"/>
    <w:rsid w:val="00B5375C"/>
    <w:rsid w:val="00B54BBD"/>
    <w:rsid w:val="00B60BBE"/>
    <w:rsid w:val="00B63544"/>
    <w:rsid w:val="00B63DA7"/>
    <w:rsid w:val="00B645B9"/>
    <w:rsid w:val="00B7061D"/>
    <w:rsid w:val="00B731C8"/>
    <w:rsid w:val="00B75372"/>
    <w:rsid w:val="00B777C6"/>
    <w:rsid w:val="00B8099A"/>
    <w:rsid w:val="00B8387C"/>
    <w:rsid w:val="00B83BA3"/>
    <w:rsid w:val="00B84462"/>
    <w:rsid w:val="00B86CFC"/>
    <w:rsid w:val="00B87AFB"/>
    <w:rsid w:val="00B90165"/>
    <w:rsid w:val="00B9120F"/>
    <w:rsid w:val="00B9187B"/>
    <w:rsid w:val="00B955E6"/>
    <w:rsid w:val="00B95AAC"/>
    <w:rsid w:val="00B970C3"/>
    <w:rsid w:val="00BA25AA"/>
    <w:rsid w:val="00BA2612"/>
    <w:rsid w:val="00BA45E7"/>
    <w:rsid w:val="00BA4DE8"/>
    <w:rsid w:val="00BA6084"/>
    <w:rsid w:val="00BA76C9"/>
    <w:rsid w:val="00BB5768"/>
    <w:rsid w:val="00BB7D6C"/>
    <w:rsid w:val="00BC20E8"/>
    <w:rsid w:val="00BC4B68"/>
    <w:rsid w:val="00BC62D0"/>
    <w:rsid w:val="00BD20D4"/>
    <w:rsid w:val="00BD7145"/>
    <w:rsid w:val="00BD7828"/>
    <w:rsid w:val="00BD7A05"/>
    <w:rsid w:val="00BD7D9A"/>
    <w:rsid w:val="00BE0DD2"/>
    <w:rsid w:val="00BE2AF5"/>
    <w:rsid w:val="00BE3E27"/>
    <w:rsid w:val="00BE3F84"/>
    <w:rsid w:val="00BE4557"/>
    <w:rsid w:val="00BF158D"/>
    <w:rsid w:val="00BF40E8"/>
    <w:rsid w:val="00BF6369"/>
    <w:rsid w:val="00BF64A2"/>
    <w:rsid w:val="00C0274D"/>
    <w:rsid w:val="00C02F20"/>
    <w:rsid w:val="00C03334"/>
    <w:rsid w:val="00C07DEF"/>
    <w:rsid w:val="00C1016D"/>
    <w:rsid w:val="00C10A86"/>
    <w:rsid w:val="00C13AEF"/>
    <w:rsid w:val="00C15616"/>
    <w:rsid w:val="00C17990"/>
    <w:rsid w:val="00C2282F"/>
    <w:rsid w:val="00C30D6F"/>
    <w:rsid w:val="00C310B8"/>
    <w:rsid w:val="00C342D7"/>
    <w:rsid w:val="00C349EF"/>
    <w:rsid w:val="00C34C91"/>
    <w:rsid w:val="00C37950"/>
    <w:rsid w:val="00C4353F"/>
    <w:rsid w:val="00C4553C"/>
    <w:rsid w:val="00C47366"/>
    <w:rsid w:val="00C54805"/>
    <w:rsid w:val="00C6005C"/>
    <w:rsid w:val="00C63B05"/>
    <w:rsid w:val="00C64B57"/>
    <w:rsid w:val="00C64BC9"/>
    <w:rsid w:val="00C6770C"/>
    <w:rsid w:val="00C70948"/>
    <w:rsid w:val="00C71118"/>
    <w:rsid w:val="00C71856"/>
    <w:rsid w:val="00C72243"/>
    <w:rsid w:val="00C737CA"/>
    <w:rsid w:val="00C74D01"/>
    <w:rsid w:val="00C772DF"/>
    <w:rsid w:val="00C83915"/>
    <w:rsid w:val="00C87671"/>
    <w:rsid w:val="00C94749"/>
    <w:rsid w:val="00CA31E7"/>
    <w:rsid w:val="00CA31F6"/>
    <w:rsid w:val="00CA3433"/>
    <w:rsid w:val="00CA72E8"/>
    <w:rsid w:val="00CB759B"/>
    <w:rsid w:val="00CC0023"/>
    <w:rsid w:val="00CC068F"/>
    <w:rsid w:val="00CC28E1"/>
    <w:rsid w:val="00CD04EE"/>
    <w:rsid w:val="00CD1BDD"/>
    <w:rsid w:val="00CD6D5D"/>
    <w:rsid w:val="00CD71CD"/>
    <w:rsid w:val="00CE6DA9"/>
    <w:rsid w:val="00CE7703"/>
    <w:rsid w:val="00CE7BD2"/>
    <w:rsid w:val="00CF036E"/>
    <w:rsid w:val="00CF3A87"/>
    <w:rsid w:val="00CF6158"/>
    <w:rsid w:val="00D00BA4"/>
    <w:rsid w:val="00D027AF"/>
    <w:rsid w:val="00D05462"/>
    <w:rsid w:val="00D05581"/>
    <w:rsid w:val="00D06355"/>
    <w:rsid w:val="00D10EAF"/>
    <w:rsid w:val="00D10F23"/>
    <w:rsid w:val="00D208C3"/>
    <w:rsid w:val="00D210B7"/>
    <w:rsid w:val="00D248DA"/>
    <w:rsid w:val="00D2615E"/>
    <w:rsid w:val="00D274AB"/>
    <w:rsid w:val="00D27FC9"/>
    <w:rsid w:val="00D30DA8"/>
    <w:rsid w:val="00D34452"/>
    <w:rsid w:val="00D37BDA"/>
    <w:rsid w:val="00D37D61"/>
    <w:rsid w:val="00D40042"/>
    <w:rsid w:val="00D402A1"/>
    <w:rsid w:val="00D462BA"/>
    <w:rsid w:val="00D46C54"/>
    <w:rsid w:val="00D4754C"/>
    <w:rsid w:val="00D5102A"/>
    <w:rsid w:val="00D5187A"/>
    <w:rsid w:val="00D54C30"/>
    <w:rsid w:val="00D610DB"/>
    <w:rsid w:val="00D6111F"/>
    <w:rsid w:val="00D623EC"/>
    <w:rsid w:val="00D62C00"/>
    <w:rsid w:val="00D65998"/>
    <w:rsid w:val="00D700FC"/>
    <w:rsid w:val="00D7181F"/>
    <w:rsid w:val="00D725CB"/>
    <w:rsid w:val="00D85963"/>
    <w:rsid w:val="00D860DA"/>
    <w:rsid w:val="00D905FC"/>
    <w:rsid w:val="00D91596"/>
    <w:rsid w:val="00D916AF"/>
    <w:rsid w:val="00D92301"/>
    <w:rsid w:val="00D93B16"/>
    <w:rsid w:val="00D93D70"/>
    <w:rsid w:val="00DA1469"/>
    <w:rsid w:val="00DA3B61"/>
    <w:rsid w:val="00DA4160"/>
    <w:rsid w:val="00DA458A"/>
    <w:rsid w:val="00DA59FF"/>
    <w:rsid w:val="00DA5D99"/>
    <w:rsid w:val="00DB4185"/>
    <w:rsid w:val="00DC09D6"/>
    <w:rsid w:val="00DC27DE"/>
    <w:rsid w:val="00DC590A"/>
    <w:rsid w:val="00DD1EB7"/>
    <w:rsid w:val="00DD475C"/>
    <w:rsid w:val="00DE05D2"/>
    <w:rsid w:val="00DE094B"/>
    <w:rsid w:val="00DE2559"/>
    <w:rsid w:val="00DF6A9E"/>
    <w:rsid w:val="00E01CBF"/>
    <w:rsid w:val="00E02B18"/>
    <w:rsid w:val="00E02E16"/>
    <w:rsid w:val="00E03D0D"/>
    <w:rsid w:val="00E0490F"/>
    <w:rsid w:val="00E05DB1"/>
    <w:rsid w:val="00E0623F"/>
    <w:rsid w:val="00E222F6"/>
    <w:rsid w:val="00E23635"/>
    <w:rsid w:val="00E23886"/>
    <w:rsid w:val="00E245DC"/>
    <w:rsid w:val="00E24C70"/>
    <w:rsid w:val="00E31B78"/>
    <w:rsid w:val="00E34228"/>
    <w:rsid w:val="00E34E4C"/>
    <w:rsid w:val="00E40858"/>
    <w:rsid w:val="00E42242"/>
    <w:rsid w:val="00E4370F"/>
    <w:rsid w:val="00E465E1"/>
    <w:rsid w:val="00E467A4"/>
    <w:rsid w:val="00E47C41"/>
    <w:rsid w:val="00E50AD1"/>
    <w:rsid w:val="00E5349B"/>
    <w:rsid w:val="00E55297"/>
    <w:rsid w:val="00E55733"/>
    <w:rsid w:val="00E56350"/>
    <w:rsid w:val="00E606F8"/>
    <w:rsid w:val="00E67CF5"/>
    <w:rsid w:val="00E67FDE"/>
    <w:rsid w:val="00E735B0"/>
    <w:rsid w:val="00E7390C"/>
    <w:rsid w:val="00E73ADA"/>
    <w:rsid w:val="00E7736F"/>
    <w:rsid w:val="00E8498C"/>
    <w:rsid w:val="00E86642"/>
    <w:rsid w:val="00E86C9A"/>
    <w:rsid w:val="00E960E2"/>
    <w:rsid w:val="00E977EF"/>
    <w:rsid w:val="00E97AB3"/>
    <w:rsid w:val="00EA54FE"/>
    <w:rsid w:val="00EB1C90"/>
    <w:rsid w:val="00EB1D1E"/>
    <w:rsid w:val="00EC065F"/>
    <w:rsid w:val="00EC14FD"/>
    <w:rsid w:val="00EC4592"/>
    <w:rsid w:val="00EC6D60"/>
    <w:rsid w:val="00ED03D9"/>
    <w:rsid w:val="00ED18AD"/>
    <w:rsid w:val="00ED7256"/>
    <w:rsid w:val="00EE1013"/>
    <w:rsid w:val="00EE594D"/>
    <w:rsid w:val="00EE683D"/>
    <w:rsid w:val="00EE7669"/>
    <w:rsid w:val="00EF0ACD"/>
    <w:rsid w:val="00EF4D79"/>
    <w:rsid w:val="00F02C88"/>
    <w:rsid w:val="00F02D75"/>
    <w:rsid w:val="00F075FE"/>
    <w:rsid w:val="00F0767C"/>
    <w:rsid w:val="00F114AE"/>
    <w:rsid w:val="00F117DD"/>
    <w:rsid w:val="00F12A46"/>
    <w:rsid w:val="00F13578"/>
    <w:rsid w:val="00F13F4E"/>
    <w:rsid w:val="00F17135"/>
    <w:rsid w:val="00F20447"/>
    <w:rsid w:val="00F206D7"/>
    <w:rsid w:val="00F20A02"/>
    <w:rsid w:val="00F20CEA"/>
    <w:rsid w:val="00F245EE"/>
    <w:rsid w:val="00F30E3B"/>
    <w:rsid w:val="00F3274F"/>
    <w:rsid w:val="00F32F48"/>
    <w:rsid w:val="00F40720"/>
    <w:rsid w:val="00F42CB6"/>
    <w:rsid w:val="00F43B8B"/>
    <w:rsid w:val="00F47979"/>
    <w:rsid w:val="00F53847"/>
    <w:rsid w:val="00F57876"/>
    <w:rsid w:val="00F6122D"/>
    <w:rsid w:val="00F61BF2"/>
    <w:rsid w:val="00F647AF"/>
    <w:rsid w:val="00F647C6"/>
    <w:rsid w:val="00F66EB1"/>
    <w:rsid w:val="00F700EF"/>
    <w:rsid w:val="00F7716F"/>
    <w:rsid w:val="00F80142"/>
    <w:rsid w:val="00F819ED"/>
    <w:rsid w:val="00F838FB"/>
    <w:rsid w:val="00F83FC8"/>
    <w:rsid w:val="00F86177"/>
    <w:rsid w:val="00F91FE8"/>
    <w:rsid w:val="00F9421A"/>
    <w:rsid w:val="00F953C3"/>
    <w:rsid w:val="00F97B0F"/>
    <w:rsid w:val="00FA153C"/>
    <w:rsid w:val="00FA1BE6"/>
    <w:rsid w:val="00FA2AE1"/>
    <w:rsid w:val="00FA607B"/>
    <w:rsid w:val="00FA7D27"/>
    <w:rsid w:val="00FB1A92"/>
    <w:rsid w:val="00FB1CC0"/>
    <w:rsid w:val="00FB5578"/>
    <w:rsid w:val="00FB7734"/>
    <w:rsid w:val="00FC234D"/>
    <w:rsid w:val="00FC57FC"/>
    <w:rsid w:val="00FC66FA"/>
    <w:rsid w:val="00FD176D"/>
    <w:rsid w:val="00FD1899"/>
    <w:rsid w:val="00FD7F27"/>
    <w:rsid w:val="00FE1577"/>
    <w:rsid w:val="00FE21C7"/>
    <w:rsid w:val="00FE53A2"/>
    <w:rsid w:val="00FE5CA1"/>
    <w:rsid w:val="00FE6C17"/>
    <w:rsid w:val="00FF1689"/>
    <w:rsid w:val="00FF3A6F"/>
    <w:rsid w:val="00FF6E08"/>
    <w:rsid w:val="00FF74C4"/>
    <w:rsid w:val="1A9A7804"/>
    <w:rsid w:val="1C63BD79"/>
    <w:rsid w:val="1D751E84"/>
    <w:rsid w:val="1F7FC96C"/>
    <w:rsid w:val="20DA4984"/>
    <w:rsid w:val="27341DFD"/>
    <w:rsid w:val="2DFC3B58"/>
    <w:rsid w:val="37FF68E2"/>
    <w:rsid w:val="3EFE2BC7"/>
    <w:rsid w:val="3FF389CB"/>
    <w:rsid w:val="4CFFBD43"/>
    <w:rsid w:val="4FBD7E75"/>
    <w:rsid w:val="50BF61DA"/>
    <w:rsid w:val="5BD37CCA"/>
    <w:rsid w:val="5BDB6289"/>
    <w:rsid w:val="5CBBFC55"/>
    <w:rsid w:val="5CE73053"/>
    <w:rsid w:val="5D76A8E5"/>
    <w:rsid w:val="68FD15DC"/>
    <w:rsid w:val="7A2E44B9"/>
    <w:rsid w:val="7FD53898"/>
    <w:rsid w:val="7FDBD235"/>
    <w:rsid w:val="7FDF071F"/>
    <w:rsid w:val="7FF74FDA"/>
    <w:rsid w:val="7FFD4C05"/>
    <w:rsid w:val="99FD37E3"/>
    <w:rsid w:val="BDFF96BC"/>
    <w:rsid w:val="C4FF2642"/>
    <w:rsid w:val="C7BFCD42"/>
    <w:rsid w:val="CC3F6AF6"/>
    <w:rsid w:val="CE93856C"/>
    <w:rsid w:val="D57B14F3"/>
    <w:rsid w:val="DE9D2DD9"/>
    <w:rsid w:val="DF7645FB"/>
    <w:rsid w:val="EDBDA93F"/>
    <w:rsid w:val="EDD3A34B"/>
    <w:rsid w:val="EF2F4447"/>
    <w:rsid w:val="EF385E97"/>
    <w:rsid w:val="EF590455"/>
    <w:rsid w:val="EFBB36FE"/>
    <w:rsid w:val="F3B71650"/>
    <w:rsid w:val="F4A7122A"/>
    <w:rsid w:val="F6FE97E0"/>
    <w:rsid w:val="FBDF1861"/>
    <w:rsid w:val="FC6B939E"/>
    <w:rsid w:val="FDCB3B8D"/>
    <w:rsid w:val="FDDF8C4A"/>
    <w:rsid w:val="FDEE51F7"/>
    <w:rsid w:val="FDFFBD60"/>
    <w:rsid w:val="FE770E66"/>
    <w:rsid w:val="FEFF5791"/>
    <w:rsid w:val="FF86890C"/>
    <w:rsid w:val="FFEEBED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jc w:val="both"/>
    </w:pPr>
    <w:rPr>
      <w:rFonts w:ascii="仿宋_GB2312" w:hAnsi="等线" w:eastAsia="仿宋_GB2312" w:cs="Times New Roman"/>
      <w:kern w:val="2"/>
      <w:sz w:val="32"/>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locked/>
    <w:uiPriority w:val="39"/>
    <w:pPr>
      <w:ind w:left="200" w:leftChars="200"/>
    </w:pPr>
  </w:style>
  <w:style w:type="paragraph" w:styleId="3">
    <w:name w:val="Document Map"/>
    <w:basedOn w:val="1"/>
    <w:link w:val="14"/>
    <w:semiHidden/>
    <w:qFormat/>
    <w:uiPriority w:val="99"/>
    <w:rPr>
      <w:rFonts w:ascii="宋体" w:eastAsia="宋体"/>
      <w:sz w:val="24"/>
      <w:szCs w:val="24"/>
    </w:rPr>
  </w:style>
  <w:style w:type="paragraph" w:styleId="4">
    <w:name w:val="annotation text"/>
    <w:basedOn w:val="1"/>
    <w:link w:val="15"/>
    <w:semiHidden/>
    <w:qFormat/>
    <w:uiPriority w:val="99"/>
    <w:pPr>
      <w:jc w:val="left"/>
    </w:pPr>
  </w:style>
  <w:style w:type="paragraph" w:styleId="5">
    <w:name w:val="Balloon Text"/>
    <w:basedOn w:val="1"/>
    <w:link w:val="16"/>
    <w:semiHidden/>
    <w:qFormat/>
    <w:uiPriority w:val="99"/>
    <w:pPr>
      <w:spacing w:line="240" w:lineRule="auto"/>
    </w:pPr>
    <w:rPr>
      <w:sz w:val="18"/>
      <w:szCs w:val="18"/>
    </w:rPr>
  </w:style>
  <w:style w:type="paragraph" w:styleId="6">
    <w:name w:val="footer"/>
    <w:basedOn w:val="1"/>
    <w:link w:val="17"/>
    <w:qFormat/>
    <w:uiPriority w:val="99"/>
    <w:pPr>
      <w:tabs>
        <w:tab w:val="center" w:pos="4153"/>
        <w:tab w:val="right" w:pos="8306"/>
      </w:tabs>
      <w:spacing w:line="240" w:lineRule="auto"/>
      <w:jc w:val="left"/>
    </w:pPr>
    <w:rPr>
      <w:sz w:val="18"/>
      <w:szCs w:val="18"/>
    </w:rPr>
  </w:style>
  <w:style w:type="paragraph" w:styleId="7">
    <w:name w:val="header"/>
    <w:basedOn w:val="1"/>
    <w:link w:val="18"/>
    <w:semiHidden/>
    <w:qFormat/>
    <w:uiPriority w:val="99"/>
    <w:pPr>
      <w:pBdr>
        <w:bottom w:val="single" w:color="auto" w:sz="6" w:space="1"/>
      </w:pBdr>
      <w:tabs>
        <w:tab w:val="center" w:pos="4153"/>
        <w:tab w:val="right" w:pos="8306"/>
      </w:tabs>
      <w:spacing w:line="240" w:lineRule="auto"/>
      <w:jc w:val="center"/>
    </w:pPr>
    <w:rPr>
      <w:sz w:val="18"/>
      <w:szCs w:val="18"/>
    </w:rPr>
  </w:style>
  <w:style w:type="paragraph" w:styleId="8">
    <w:name w:val="Normal (Web)"/>
    <w:basedOn w:val="1"/>
    <w:qFormat/>
    <w:uiPriority w:val="99"/>
    <w:pPr>
      <w:widowControl/>
      <w:adjustRightInd/>
      <w:snapToGrid/>
      <w:spacing w:before="100" w:beforeAutospacing="1" w:after="100" w:afterAutospacing="1" w:line="240" w:lineRule="auto"/>
      <w:jc w:val="left"/>
    </w:pPr>
    <w:rPr>
      <w:rFonts w:ascii="宋体" w:hAnsi="宋体" w:eastAsia="宋体" w:cs="宋体"/>
      <w:kern w:val="0"/>
      <w:sz w:val="24"/>
      <w:szCs w:val="24"/>
    </w:rPr>
  </w:style>
  <w:style w:type="paragraph" w:styleId="9">
    <w:name w:val="annotation subject"/>
    <w:basedOn w:val="4"/>
    <w:next w:val="4"/>
    <w:link w:val="19"/>
    <w:semiHidden/>
    <w:qFormat/>
    <w:uiPriority w:val="99"/>
    <w:rPr>
      <w:b/>
      <w:bCs/>
    </w:rPr>
  </w:style>
  <w:style w:type="table" w:styleId="11">
    <w:name w:val="Table Grid"/>
    <w:basedOn w:val="10"/>
    <w:qFormat/>
    <w:locked/>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annotation reference"/>
    <w:basedOn w:val="12"/>
    <w:semiHidden/>
    <w:qFormat/>
    <w:uiPriority w:val="99"/>
    <w:rPr>
      <w:rFonts w:cs="Times New Roman"/>
      <w:sz w:val="21"/>
      <w:szCs w:val="21"/>
    </w:rPr>
  </w:style>
  <w:style w:type="character" w:customStyle="1" w:styleId="14">
    <w:name w:val="文档结构图 Char"/>
    <w:basedOn w:val="12"/>
    <w:link w:val="3"/>
    <w:semiHidden/>
    <w:qFormat/>
    <w:locked/>
    <w:uiPriority w:val="99"/>
    <w:rPr>
      <w:rFonts w:ascii="宋体" w:eastAsia="宋体" w:cs="Times New Roman"/>
      <w:sz w:val="24"/>
      <w:szCs w:val="24"/>
    </w:rPr>
  </w:style>
  <w:style w:type="character" w:customStyle="1" w:styleId="15">
    <w:name w:val="批注文字 Char"/>
    <w:basedOn w:val="12"/>
    <w:link w:val="4"/>
    <w:semiHidden/>
    <w:qFormat/>
    <w:locked/>
    <w:uiPriority w:val="99"/>
    <w:rPr>
      <w:rFonts w:ascii="仿宋_GB2312" w:eastAsia="仿宋_GB2312" w:cs="Times New Roman"/>
      <w:sz w:val="32"/>
    </w:rPr>
  </w:style>
  <w:style w:type="character" w:customStyle="1" w:styleId="16">
    <w:name w:val="批注框文本 Char"/>
    <w:basedOn w:val="12"/>
    <w:link w:val="5"/>
    <w:semiHidden/>
    <w:qFormat/>
    <w:locked/>
    <w:uiPriority w:val="99"/>
    <w:rPr>
      <w:rFonts w:ascii="仿宋_GB2312" w:eastAsia="仿宋_GB2312" w:cs="Times New Roman"/>
      <w:sz w:val="18"/>
      <w:szCs w:val="18"/>
    </w:rPr>
  </w:style>
  <w:style w:type="character" w:customStyle="1" w:styleId="17">
    <w:name w:val="页脚 Char"/>
    <w:basedOn w:val="12"/>
    <w:link w:val="6"/>
    <w:qFormat/>
    <w:locked/>
    <w:uiPriority w:val="99"/>
    <w:rPr>
      <w:rFonts w:ascii="仿宋_GB2312" w:eastAsia="仿宋_GB2312" w:cs="Times New Roman"/>
      <w:sz w:val="18"/>
      <w:szCs w:val="18"/>
    </w:rPr>
  </w:style>
  <w:style w:type="character" w:customStyle="1" w:styleId="18">
    <w:name w:val="页眉 Char"/>
    <w:basedOn w:val="12"/>
    <w:link w:val="7"/>
    <w:semiHidden/>
    <w:qFormat/>
    <w:locked/>
    <w:uiPriority w:val="99"/>
    <w:rPr>
      <w:rFonts w:ascii="仿宋_GB2312" w:eastAsia="仿宋_GB2312" w:cs="Times New Roman"/>
      <w:sz w:val="18"/>
      <w:szCs w:val="18"/>
    </w:rPr>
  </w:style>
  <w:style w:type="character" w:customStyle="1" w:styleId="19">
    <w:name w:val="批注主题 Char"/>
    <w:basedOn w:val="15"/>
    <w:link w:val="9"/>
    <w:semiHidden/>
    <w:qFormat/>
    <w:locked/>
    <w:uiPriority w:val="99"/>
    <w:rPr>
      <w:b/>
      <w:bCs/>
    </w:rPr>
  </w:style>
  <w:style w:type="paragraph" w:customStyle="1" w:styleId="20">
    <w:name w:val="修订1"/>
    <w:hidden/>
    <w:semiHidden/>
    <w:qFormat/>
    <w:uiPriority w:val="99"/>
    <w:rPr>
      <w:rFonts w:ascii="仿宋_GB2312" w:hAnsi="等线" w:eastAsia="仿宋_GB2312" w:cs="Times New Roman"/>
      <w:kern w:val="2"/>
      <w:sz w:val="32"/>
      <w:szCs w:val="22"/>
      <w:lang w:val="en-US" w:eastAsia="zh-CN" w:bidi="ar-SA"/>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7171</Words>
  <Characters>662</Characters>
  <Lines>5</Lines>
  <Paragraphs>15</Paragraphs>
  <TotalTime>127</TotalTime>
  <ScaleCrop>false</ScaleCrop>
  <LinksUpToDate>false</LinksUpToDate>
  <CharactersWithSpaces>7818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2021-05-29T18:09:00Z</dcterms:created>
  <dc:creator>高瑛泽</dc:creator>
  <cp:lastModifiedBy>uos</cp:lastModifiedBy>
  <cp:lastPrinted>2021-05-30T17:10:00Z</cp:lastPrinted>
  <dcterms:modified xsi:type="dcterms:W3CDTF">2023-12-07T20:21:29Z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