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both"/>
        <w:rPr>
          <w:rFonts w:hint="eastAsia" w:ascii="黑体" w:hAnsi="黑体" w:eastAsia="黑体" w:cs="黑体"/>
          <w:b w:val="0"/>
          <w:bCs/>
          <w:spacing w:val="20"/>
          <w:sz w:val="32"/>
          <w:szCs w:val="32"/>
          <w:lang w:eastAsia="zh-CN"/>
        </w:rPr>
      </w:pPr>
      <w:r>
        <w:rPr>
          <w:rFonts w:hint="eastAsia" w:ascii="黑体" w:hAnsi="黑体" w:eastAsia="黑体" w:cs="黑体"/>
          <w:b w:val="0"/>
          <w:bCs/>
          <w:spacing w:val="20"/>
          <w:sz w:val="32"/>
          <w:szCs w:val="32"/>
          <w:lang w:eastAsia="zh-CN"/>
        </w:rPr>
        <w:t>附件</w:t>
      </w:r>
    </w:p>
    <w:p>
      <w:pPr>
        <w:jc w:val="both"/>
        <w:rPr>
          <w:rFonts w:hint="eastAsia" w:ascii="黑体" w:hAnsi="黑体" w:eastAsia="黑体" w:cs="黑体"/>
          <w:b w:val="0"/>
          <w:bCs/>
          <w:spacing w:val="20"/>
          <w:sz w:val="32"/>
          <w:szCs w:val="32"/>
          <w:lang w:eastAsia="zh-CN"/>
        </w:rPr>
      </w:pPr>
    </w:p>
    <w:p>
      <w:pPr>
        <w:jc w:val="center"/>
        <w:outlineLvl w:val="0"/>
        <w:rPr>
          <w:rFonts w:hint="eastAsia" w:ascii="宋体" w:hAnsi="宋体" w:eastAsia="宋体"/>
          <w:b/>
          <w:spacing w:val="20"/>
          <w:sz w:val="44"/>
          <w:szCs w:val="44"/>
        </w:rPr>
      </w:pPr>
      <w:r>
        <w:rPr>
          <w:rFonts w:hint="eastAsia" w:ascii="宋体" w:hAnsi="宋体" w:eastAsia="宋体"/>
          <w:b/>
          <w:spacing w:val="20"/>
          <w:sz w:val="44"/>
          <w:szCs w:val="44"/>
        </w:rPr>
        <w:t>海南省预算管理一体化系统</w:t>
      </w:r>
    </w:p>
    <w:p>
      <w:pPr>
        <w:jc w:val="center"/>
        <w:outlineLvl w:val="0"/>
        <w:rPr>
          <w:rFonts w:hint="eastAsia" w:ascii="宋体" w:hAnsi="宋体" w:eastAsia="宋体"/>
          <w:b/>
          <w:spacing w:val="20"/>
          <w:sz w:val="44"/>
          <w:szCs w:val="44"/>
        </w:rPr>
      </w:pPr>
      <w:r>
        <w:rPr>
          <w:rFonts w:hint="eastAsia" w:ascii="宋体" w:hAnsi="宋体" w:eastAsia="宋体"/>
          <w:b/>
          <w:spacing w:val="20"/>
          <w:sz w:val="44"/>
          <w:szCs w:val="44"/>
          <w:lang w:eastAsia="zh-CN"/>
        </w:rPr>
        <w:t>资产管理模块</w:t>
      </w:r>
      <w:r>
        <w:rPr>
          <w:rFonts w:hint="eastAsia" w:ascii="宋体" w:hAnsi="宋体" w:eastAsia="宋体"/>
          <w:b/>
          <w:spacing w:val="20"/>
          <w:sz w:val="44"/>
          <w:szCs w:val="44"/>
        </w:rPr>
        <w:t>（资产</w:t>
      </w:r>
      <w:r>
        <w:rPr>
          <w:rFonts w:hint="eastAsia" w:ascii="宋体" w:hAnsi="宋体" w:eastAsia="宋体"/>
          <w:b/>
          <w:spacing w:val="20"/>
          <w:sz w:val="44"/>
          <w:szCs w:val="44"/>
          <w:lang w:val="en-US" w:eastAsia="zh-CN"/>
        </w:rPr>
        <w:t>调剂共享平台</w:t>
      </w:r>
      <w:r>
        <w:rPr>
          <w:rFonts w:hint="eastAsia" w:ascii="宋体" w:hAnsi="宋体" w:eastAsia="宋体"/>
          <w:b/>
          <w:spacing w:val="20"/>
          <w:sz w:val="44"/>
          <w:szCs w:val="44"/>
        </w:rPr>
        <w:t>）</w:t>
      </w:r>
    </w:p>
    <w:p>
      <w:pPr>
        <w:pStyle w:val="2"/>
        <w:rPr>
          <w:rFonts w:hint="eastAsia" w:ascii="宋体" w:hAnsi="宋体" w:eastAsia="宋体"/>
          <w:b/>
          <w:spacing w:val="20"/>
          <w:sz w:val="52"/>
          <w:szCs w:val="52"/>
        </w:rPr>
      </w:pPr>
    </w:p>
    <w:p>
      <w:pPr>
        <w:pStyle w:val="2"/>
        <w:jc w:val="center"/>
        <w:outlineLvl w:val="0"/>
        <w:rPr>
          <w:rFonts w:hint="eastAsia" w:ascii="黑体" w:eastAsia="黑体"/>
          <w:b/>
          <w:spacing w:val="20"/>
          <w:sz w:val="72"/>
          <w:szCs w:val="72"/>
        </w:rPr>
      </w:pPr>
      <w:r>
        <w:rPr>
          <w:rFonts w:hint="eastAsia" w:ascii="黑体" w:eastAsia="黑体"/>
          <w:b/>
          <w:spacing w:val="20"/>
          <w:sz w:val="72"/>
          <w:szCs w:val="72"/>
        </w:rPr>
        <w:t>操作规程</w:t>
      </w:r>
    </w:p>
    <w:p>
      <w:pPr>
        <w:pStyle w:val="2"/>
        <w:jc w:val="center"/>
        <w:rPr>
          <w:rFonts w:hint="eastAsia" w:ascii="黑体" w:eastAsia="黑体"/>
          <w:b/>
          <w:spacing w:val="20"/>
          <w:sz w:val="72"/>
          <w:szCs w:val="72"/>
        </w:rPr>
      </w:pPr>
    </w:p>
    <w:p>
      <w:pPr>
        <w:pStyle w:val="2"/>
        <w:jc w:val="center"/>
        <w:rPr>
          <w:rFonts w:hint="eastAsia" w:ascii="Arial Black" w:hAnsi="Arial Black" w:eastAsia="黑体"/>
          <w:sz w:val="32"/>
          <w:szCs w:val="32"/>
        </w:rPr>
      </w:pPr>
    </w:p>
    <w:p>
      <w:pPr>
        <w:pStyle w:val="2"/>
        <w:jc w:val="center"/>
        <w:rPr>
          <w:rFonts w:hint="eastAsia" w:ascii="Arial Black" w:hAnsi="Arial Black" w:eastAsia="黑体"/>
          <w:sz w:val="32"/>
          <w:szCs w:val="32"/>
        </w:rPr>
      </w:pPr>
    </w:p>
    <w:p>
      <w:pPr>
        <w:bidi w:val="0"/>
        <w:jc w:val="both"/>
        <w:outlineLvl w:val="9"/>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17"/>
        <w:ind w:firstLine="0" w:firstLineChars="0"/>
        <w:jc w:val="center"/>
        <w:rPr>
          <w:rFonts w:hint="eastAsia" w:ascii="Arial Black" w:hAnsi="Arial Black" w:eastAsia="黑体"/>
          <w:sz w:val="32"/>
          <w:szCs w:val="32"/>
        </w:rPr>
      </w:pPr>
    </w:p>
    <w:p>
      <w:pPr>
        <w:pStyle w:val="17"/>
        <w:ind w:firstLine="0" w:firstLineChars="0"/>
        <w:jc w:val="center"/>
        <w:rPr>
          <w:rFonts w:hint="eastAsia" w:ascii="Arial Black" w:hAnsi="Arial Black" w:eastAsia="黑体"/>
          <w:sz w:val="32"/>
          <w:szCs w:val="32"/>
        </w:rPr>
      </w:pPr>
    </w:p>
    <w:p>
      <w:pPr>
        <w:pStyle w:val="17"/>
        <w:ind w:firstLine="0" w:firstLineChars="0"/>
        <w:jc w:val="center"/>
        <w:rPr>
          <w:rFonts w:hint="eastAsia" w:ascii="Arial Black" w:hAnsi="Arial Black" w:eastAsia="黑体"/>
          <w:sz w:val="32"/>
          <w:szCs w:val="32"/>
        </w:rPr>
      </w:pPr>
    </w:p>
    <w:p>
      <w:pPr>
        <w:pStyle w:val="17"/>
        <w:ind w:firstLine="0" w:firstLineChars="0"/>
        <w:jc w:val="center"/>
        <w:rPr>
          <w:rFonts w:hint="eastAsia" w:ascii="Arial Black" w:hAnsi="Arial Black" w:eastAsia="黑体"/>
          <w:sz w:val="32"/>
          <w:szCs w:val="32"/>
        </w:rPr>
      </w:pPr>
    </w:p>
    <w:p>
      <w:pPr>
        <w:pStyle w:val="2"/>
        <w:rPr>
          <w:rFonts w:hint="eastAsia" w:ascii="宋体" w:hAnsi="宋体" w:eastAsia="宋体"/>
          <w:b/>
          <w:sz w:val="32"/>
          <w:szCs w:val="32"/>
          <w:lang w:eastAsia="zh-CN"/>
        </w:rPr>
      </w:pPr>
      <w:bookmarkStart w:id="0" w:name="_Toc47212272"/>
    </w:p>
    <w:p>
      <w:pPr>
        <w:pStyle w:val="2"/>
        <w:jc w:val="center"/>
        <w:outlineLvl w:val="0"/>
        <w:rPr>
          <w:rFonts w:ascii="宋体" w:hAnsi="宋体" w:eastAsia="宋体"/>
          <w:b/>
          <w:sz w:val="32"/>
          <w:szCs w:val="32"/>
        </w:rPr>
      </w:pPr>
      <w:r>
        <w:rPr>
          <w:rFonts w:hint="eastAsia" w:ascii="宋体" w:hAnsi="宋体" w:cs="宋体"/>
          <w:sz w:val="30"/>
          <w:szCs w:val="30"/>
        </w:rPr>
        <w:t>202</w:t>
      </w:r>
      <w:r>
        <w:rPr>
          <w:rFonts w:hint="eastAsia" w:ascii="宋体" w:hAnsi="宋体" w:cs="宋体"/>
          <w:sz w:val="30"/>
          <w:szCs w:val="30"/>
          <w:lang w:val="en-US" w:eastAsia="zh-CN"/>
        </w:rPr>
        <w:t>5</w:t>
      </w:r>
      <w:r>
        <w:rPr>
          <w:rFonts w:hint="eastAsia" w:ascii="宋体" w:hAnsi="宋体" w:cs="宋体"/>
          <w:sz w:val="30"/>
          <w:szCs w:val="30"/>
        </w:rPr>
        <w:t>年</w:t>
      </w:r>
      <w:r>
        <w:rPr>
          <w:rFonts w:hint="eastAsia" w:ascii="宋体" w:hAnsi="宋体" w:cs="宋体"/>
          <w:sz w:val="30"/>
          <w:szCs w:val="30"/>
          <w:lang w:val="en-US" w:eastAsia="zh-CN"/>
        </w:rPr>
        <w:t>6</w:t>
      </w:r>
      <w:r>
        <w:rPr>
          <w:rFonts w:hint="eastAsia" w:ascii="宋体" w:hAnsi="宋体" w:cs="宋体"/>
          <w:sz w:val="30"/>
          <w:szCs w:val="30"/>
        </w:rPr>
        <w:t>月</w:t>
      </w:r>
    </w:p>
    <w:sdt>
      <w:sdtPr>
        <w:rPr>
          <w:rFonts w:ascii="宋体" w:hAnsi="宋体" w:eastAsia="宋体" w:cstheme="minorBidi"/>
          <w:kern w:val="2"/>
          <w:sz w:val="21"/>
          <w:szCs w:val="24"/>
          <w:lang w:val="en-US" w:eastAsia="zh-CN" w:bidi="ar-SA"/>
        </w:rPr>
        <w:id w:val="147483099"/>
        <w15:color w:val="DBDBDB"/>
      </w:sdtPr>
      <w:sdtEndPr>
        <w:rPr>
          <w:rFonts w:ascii="宋体" w:hAnsi="宋体" w:eastAsia="宋体" w:cs="宋体"/>
          <w:kern w:val="2"/>
          <w:sz w:val="24"/>
          <w:szCs w:val="24"/>
          <w:lang w:val="en-US" w:eastAsia="zh-CN" w:bidi="ar-SA"/>
        </w:rPr>
      </w:sdtEndPr>
      <w:sdtContent>
        <w:p>
          <w:pPr>
            <w:spacing w:before="0" w:beforeLines="0" w:after="0" w:afterLines="0" w:line="240" w:lineRule="auto"/>
            <w:ind w:left="0" w:leftChars="0" w:right="0" w:rightChars="0" w:firstLine="0" w:firstLineChars="0"/>
            <w:jc w:val="center"/>
            <w:outlineLvl w:val="0"/>
            <w:rPr>
              <w:rFonts w:hint="eastAsia" w:ascii="黑体" w:hAnsi="黑体" w:eastAsia="黑体" w:cs="黑体"/>
              <w:sz w:val="44"/>
              <w:szCs w:val="44"/>
            </w:rPr>
          </w:pPr>
        </w:p>
        <w:sdt>
          <w:sdtPr>
            <w:rPr>
              <w:rFonts w:ascii="宋体" w:hAnsi="宋体" w:eastAsia="宋体" w:cstheme="minorBidi"/>
              <w:b/>
              <w:bCs/>
              <w:kern w:val="2"/>
              <w:sz w:val="44"/>
              <w:szCs w:val="44"/>
              <w:lang w:val="en-US" w:eastAsia="zh-CN" w:bidi="ar-SA"/>
            </w:rPr>
            <w:id w:val="147483625"/>
            <w:docPartObj>
              <w:docPartGallery w:val="Table of Contents"/>
              <w:docPartUnique/>
            </w:docPartObj>
          </w:sdtPr>
          <w:sdtEndPr>
            <w:rPr>
              <w:rFonts w:hint="eastAsia" w:ascii="仿宋" w:hAnsi="仿宋" w:eastAsia="仿宋" w:cs="仿宋"/>
              <w:b/>
              <w:bCs/>
              <w:kern w:val="2"/>
              <w:sz w:val="30"/>
              <w:szCs w:val="30"/>
              <w:lang w:val="en-US" w:eastAsia="zh-CN" w:bidi="ar-SA"/>
            </w:rPr>
          </w:sdtEndPr>
          <w:sdtContent>
            <w:p>
              <w:pPr>
                <w:spacing w:before="0" w:beforeLines="0" w:after="0" w:afterLines="0" w:line="240" w:lineRule="auto"/>
                <w:ind w:left="0" w:leftChars="0" w:right="0" w:rightChars="0" w:firstLine="0" w:firstLineChars="0"/>
                <w:jc w:val="center"/>
                <w:rPr>
                  <w:b/>
                  <w:bCs/>
                  <w:sz w:val="44"/>
                  <w:szCs w:val="44"/>
                </w:rPr>
              </w:pPr>
              <w:bookmarkStart w:id="1" w:name="_Toc16755_WPSOffice_Type3"/>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pPr>
                <w:pStyle w:val="18"/>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_Toc25753_WPSOffice_Level1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967951ea-1a39-4a9e-91c4-8164c12f3b81}"/>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一、系统简介</w:t>
                  </w:r>
                </w:sdtContent>
              </w:sdt>
              <w:r>
                <w:rPr>
                  <w:rFonts w:hint="eastAsia" w:ascii="仿宋" w:hAnsi="仿宋" w:eastAsia="仿宋" w:cs="仿宋"/>
                  <w:sz w:val="30"/>
                  <w:szCs w:val="30"/>
                </w:rPr>
                <w:tab/>
              </w:r>
              <w:bookmarkStart w:id="2" w:name="_Toc25753_WPSOffice_Level1Page"/>
              <w:r>
                <w:rPr>
                  <w:rFonts w:hint="eastAsia" w:ascii="仿宋" w:hAnsi="仿宋" w:eastAsia="仿宋" w:cs="仿宋"/>
                  <w:sz w:val="30"/>
                  <w:szCs w:val="30"/>
                </w:rPr>
                <w:t>1</w:t>
              </w:r>
              <w:bookmarkEnd w:id="2"/>
              <w:r>
                <w:rPr>
                  <w:rFonts w:hint="eastAsia" w:ascii="仿宋" w:hAnsi="仿宋" w:eastAsia="仿宋" w:cs="仿宋"/>
                  <w:sz w:val="30"/>
                  <w:szCs w:val="30"/>
                </w:rPr>
                <w:fldChar w:fldCharType="end"/>
              </w:r>
            </w:p>
            <w:p>
              <w:pPr>
                <w:pStyle w:val="18"/>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_Toc16755_WPSOffice_Level1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9e9bcdb0-b52c-44a7-a922-cc9b9ba02b67}"/>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二、业务管理与从操作</w:t>
                  </w:r>
                </w:sdtContent>
              </w:sdt>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6</w:t>
              </w:r>
            </w:p>
            <w:p>
              <w:pPr>
                <w:pStyle w:val="19"/>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_Toc16755_WPSOffice_Level2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8c5cc456-8b51-44fb-a16f-ac78d63a9888}"/>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（一）共享资产</w:t>
                  </w:r>
                </w:sdtContent>
              </w:sdt>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6</w:t>
              </w:r>
            </w:p>
            <w:p>
              <w:pPr>
                <w:pStyle w:val="20"/>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_Toc16755_WPSOffice_Level3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5bf5ae56-10aa-47b1-ac8d-65a3f8102c18}"/>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1.共享资产发布</w:t>
                  </w:r>
                </w:sdtContent>
              </w:sdt>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6</w:t>
              </w:r>
            </w:p>
            <w:p>
              <w:pPr>
                <w:pStyle w:val="20"/>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_Toc22577_WPSOffice_Level3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e9f567a2-b5fc-4c87-8ea7-5c60754f6666}"/>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2.共享资产审核</w:t>
                  </w:r>
                </w:sdtContent>
              </w:sdt>
              <w:r>
                <w:rPr>
                  <w:rFonts w:hint="eastAsia" w:ascii="仿宋" w:hAnsi="仿宋" w:eastAsia="仿宋" w:cs="仿宋"/>
                  <w:sz w:val="30"/>
                  <w:szCs w:val="30"/>
                </w:rPr>
                <w:tab/>
              </w:r>
              <w:bookmarkStart w:id="3" w:name="_Toc22577_WPSOffice_Level3Page"/>
              <w:r>
                <w:rPr>
                  <w:rFonts w:hint="eastAsia" w:ascii="仿宋" w:hAnsi="仿宋" w:eastAsia="仿宋" w:cs="仿宋"/>
                  <w:sz w:val="30"/>
                  <w:szCs w:val="30"/>
                </w:rPr>
                <w:t>11</w:t>
              </w:r>
              <w:bookmarkEnd w:id="3"/>
              <w:r>
                <w:rPr>
                  <w:rFonts w:hint="eastAsia" w:ascii="仿宋" w:hAnsi="仿宋" w:eastAsia="仿宋" w:cs="仿宋"/>
                  <w:sz w:val="30"/>
                  <w:szCs w:val="30"/>
                </w:rPr>
                <w:fldChar w:fldCharType="end"/>
              </w:r>
            </w:p>
            <w:p>
              <w:pPr>
                <w:pStyle w:val="20"/>
                <w:tabs>
                  <w:tab w:val="right" w:leader="dot" w:pos="8306"/>
                </w:tabs>
                <w:rPr>
                  <w:rFonts w:hint="eastAsia" w:ascii="仿宋" w:hAnsi="仿宋" w:eastAsia="仿宋" w:cs="仿宋"/>
                  <w:sz w:val="30"/>
                  <w:szCs w:val="30"/>
                  <w:lang w:val="en-US"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_Toc25384_WPSOffice_Level3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9190e914-9414-4d96-90c5-421328880cd0}"/>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3.共享资产管理</w:t>
                  </w:r>
                </w:sdtContent>
              </w:sdt>
              <w:r>
                <w:rPr>
                  <w:rFonts w:hint="eastAsia" w:ascii="仿宋" w:hAnsi="仿宋" w:eastAsia="仿宋" w:cs="仿宋"/>
                  <w:sz w:val="30"/>
                  <w:szCs w:val="30"/>
                </w:rPr>
                <w:tab/>
              </w:r>
              <w:bookmarkStart w:id="4" w:name="_Toc25384_WPSOffice_Level3Page"/>
              <w:r>
                <w:rPr>
                  <w:rFonts w:hint="eastAsia" w:ascii="仿宋" w:hAnsi="仿宋" w:eastAsia="仿宋" w:cs="仿宋"/>
                  <w:sz w:val="30"/>
                  <w:szCs w:val="30"/>
                </w:rPr>
                <w:t>1</w:t>
              </w:r>
              <w:bookmarkEnd w:id="4"/>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4</w:t>
              </w:r>
            </w:p>
            <w:p>
              <w:pPr>
                <w:pStyle w:val="20"/>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_Toc30105_WPSOffice_Level3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c2f3d60f-e5af-4344-abe7-31b70e3ad68b}"/>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4.共享资产查询</w:t>
                  </w:r>
                </w:sdtContent>
              </w:sdt>
              <w:r>
                <w:rPr>
                  <w:rFonts w:hint="eastAsia" w:ascii="仿宋" w:hAnsi="仿宋" w:eastAsia="仿宋" w:cs="仿宋"/>
                  <w:sz w:val="30"/>
                  <w:szCs w:val="30"/>
                </w:rPr>
                <w:tab/>
              </w:r>
              <w:bookmarkStart w:id="5" w:name="_Toc30105_WPSOffice_Level3Page"/>
              <w:r>
                <w:rPr>
                  <w:rFonts w:hint="eastAsia" w:ascii="仿宋" w:hAnsi="仿宋" w:eastAsia="仿宋" w:cs="仿宋"/>
                  <w:sz w:val="30"/>
                  <w:szCs w:val="30"/>
                </w:rPr>
                <w:t>15</w:t>
              </w:r>
              <w:bookmarkEnd w:id="5"/>
              <w:r>
                <w:rPr>
                  <w:rFonts w:hint="eastAsia" w:ascii="仿宋" w:hAnsi="仿宋" w:eastAsia="仿宋" w:cs="仿宋"/>
                  <w:sz w:val="30"/>
                  <w:szCs w:val="30"/>
                </w:rPr>
                <w:fldChar w:fldCharType="end"/>
              </w:r>
            </w:p>
            <w:p>
              <w:pPr>
                <w:pStyle w:val="20"/>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_Toc374_WPSOffice_Level3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82764b06-e8f6-4319-8198-f3d68c826045}"/>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5.共享广场</w:t>
                  </w:r>
                </w:sdtContent>
              </w:sdt>
              <w:r>
                <w:rPr>
                  <w:rFonts w:hint="eastAsia" w:ascii="仿宋" w:hAnsi="仿宋" w:eastAsia="仿宋" w:cs="仿宋"/>
                  <w:sz w:val="30"/>
                  <w:szCs w:val="30"/>
                </w:rPr>
                <w:tab/>
              </w:r>
              <w:bookmarkStart w:id="6" w:name="_Toc374_WPSOffice_Level3Page"/>
              <w:r>
                <w:rPr>
                  <w:rFonts w:hint="eastAsia" w:ascii="仿宋" w:hAnsi="仿宋" w:eastAsia="仿宋" w:cs="仿宋"/>
                  <w:sz w:val="30"/>
                  <w:szCs w:val="30"/>
                </w:rPr>
                <w:t>16</w:t>
              </w:r>
              <w:bookmarkEnd w:id="6"/>
              <w:r>
                <w:rPr>
                  <w:rFonts w:hint="eastAsia" w:ascii="仿宋" w:hAnsi="仿宋" w:eastAsia="仿宋" w:cs="仿宋"/>
                  <w:sz w:val="30"/>
                  <w:szCs w:val="30"/>
                </w:rPr>
                <w:fldChar w:fldCharType="end"/>
              </w:r>
            </w:p>
            <w:p>
              <w:pPr>
                <w:pStyle w:val="19"/>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_Toc22577_WPSOffice_Level2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b4e23535-5b5f-4dd4-baec-21f21cdddecc}"/>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（二）调剂资产</w:t>
                  </w:r>
                </w:sdtContent>
              </w:sdt>
              <w:r>
                <w:rPr>
                  <w:rFonts w:hint="eastAsia" w:ascii="仿宋" w:hAnsi="仿宋" w:eastAsia="仿宋" w:cs="仿宋"/>
                  <w:sz w:val="30"/>
                  <w:szCs w:val="30"/>
                </w:rPr>
                <w:tab/>
              </w:r>
              <w:bookmarkStart w:id="7" w:name="_Toc22577_WPSOffice_Level2Page"/>
              <w:r>
                <w:rPr>
                  <w:rFonts w:hint="eastAsia" w:ascii="仿宋" w:hAnsi="仿宋" w:eastAsia="仿宋" w:cs="仿宋"/>
                  <w:sz w:val="30"/>
                  <w:szCs w:val="30"/>
                </w:rPr>
                <w:t>20</w:t>
              </w:r>
              <w:bookmarkEnd w:id="7"/>
              <w:r>
                <w:rPr>
                  <w:rFonts w:hint="eastAsia" w:ascii="仿宋" w:hAnsi="仿宋" w:eastAsia="仿宋" w:cs="仿宋"/>
                  <w:sz w:val="30"/>
                  <w:szCs w:val="30"/>
                </w:rPr>
                <w:fldChar w:fldCharType="end"/>
              </w:r>
            </w:p>
            <w:p>
              <w:pPr>
                <w:pStyle w:val="20"/>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_Toc15554_WPSOffice_Level3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3d818618-643e-4739-9973-d501988e675f}"/>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1.调剂资产发布</w:t>
                  </w:r>
                </w:sdtContent>
              </w:sdt>
              <w:r>
                <w:rPr>
                  <w:rFonts w:hint="eastAsia" w:ascii="仿宋" w:hAnsi="仿宋" w:eastAsia="仿宋" w:cs="仿宋"/>
                  <w:sz w:val="30"/>
                  <w:szCs w:val="30"/>
                </w:rPr>
                <w:tab/>
              </w:r>
              <w:bookmarkStart w:id="8" w:name="_Toc15554_WPSOffice_Level3Page"/>
              <w:r>
                <w:rPr>
                  <w:rFonts w:hint="eastAsia" w:ascii="仿宋" w:hAnsi="仿宋" w:eastAsia="仿宋" w:cs="仿宋"/>
                  <w:sz w:val="30"/>
                  <w:szCs w:val="30"/>
                </w:rPr>
                <w:t>20</w:t>
              </w:r>
              <w:bookmarkEnd w:id="8"/>
              <w:r>
                <w:rPr>
                  <w:rFonts w:hint="eastAsia" w:ascii="仿宋" w:hAnsi="仿宋" w:eastAsia="仿宋" w:cs="仿宋"/>
                  <w:sz w:val="30"/>
                  <w:szCs w:val="30"/>
                </w:rPr>
                <w:fldChar w:fldCharType="end"/>
              </w:r>
            </w:p>
            <w:p>
              <w:pPr>
                <w:pStyle w:val="20"/>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_Toc13544_WPSOffice_Level3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70ea180b-931d-4914-a365-ccbaef0110d7}"/>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2.调剂资产审核</w:t>
                  </w:r>
                </w:sdtContent>
              </w:sdt>
              <w:r>
                <w:rPr>
                  <w:rFonts w:hint="eastAsia" w:ascii="仿宋" w:hAnsi="仿宋" w:eastAsia="仿宋" w:cs="仿宋"/>
                  <w:sz w:val="30"/>
                  <w:szCs w:val="30"/>
                </w:rPr>
                <w:tab/>
              </w:r>
              <w:bookmarkStart w:id="9" w:name="_Toc13544_WPSOffice_Level3Page"/>
              <w:r>
                <w:rPr>
                  <w:rFonts w:hint="eastAsia" w:ascii="仿宋" w:hAnsi="仿宋" w:eastAsia="仿宋" w:cs="仿宋"/>
                  <w:sz w:val="30"/>
                  <w:szCs w:val="30"/>
                </w:rPr>
                <w:t>2</w:t>
              </w:r>
              <w:bookmarkEnd w:id="9"/>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4</w:t>
              </w:r>
            </w:p>
            <w:p>
              <w:pPr>
                <w:pStyle w:val="20"/>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_Toc14920_WPSOffice_Level3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d7b17f58-c761-473b-afbc-8e75c677f740}"/>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3.调剂资产管理</w:t>
                  </w:r>
                </w:sdtContent>
              </w:sdt>
              <w:r>
                <w:rPr>
                  <w:rFonts w:hint="eastAsia" w:ascii="仿宋" w:hAnsi="仿宋" w:eastAsia="仿宋" w:cs="仿宋"/>
                  <w:sz w:val="30"/>
                  <w:szCs w:val="30"/>
                </w:rPr>
                <w:tab/>
              </w:r>
              <w:bookmarkStart w:id="10" w:name="_Toc14920_WPSOffice_Level3Page"/>
              <w:r>
                <w:rPr>
                  <w:rFonts w:hint="eastAsia" w:ascii="仿宋" w:hAnsi="仿宋" w:eastAsia="仿宋" w:cs="仿宋"/>
                  <w:sz w:val="30"/>
                  <w:szCs w:val="30"/>
                </w:rPr>
                <w:t>27</w:t>
              </w:r>
              <w:bookmarkEnd w:id="10"/>
              <w:r>
                <w:rPr>
                  <w:rFonts w:hint="eastAsia" w:ascii="仿宋" w:hAnsi="仿宋" w:eastAsia="仿宋" w:cs="仿宋"/>
                  <w:sz w:val="30"/>
                  <w:szCs w:val="30"/>
                </w:rPr>
                <w:fldChar w:fldCharType="end"/>
              </w:r>
            </w:p>
            <w:p>
              <w:pPr>
                <w:pStyle w:val="20"/>
                <w:tabs>
                  <w:tab w:val="right" w:leader="dot" w:pos="8306"/>
                </w:tabs>
                <w:rPr>
                  <w:rFonts w:hint="default" w:ascii="仿宋" w:hAnsi="仿宋" w:eastAsia="仿宋" w:cs="仿宋"/>
                  <w:sz w:val="30"/>
                  <w:szCs w:val="30"/>
                  <w:lang w:val="en-US"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_Toc23780_WPSOffice_Level3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4d58979e-9de4-4ce6-a35b-e0a2b5146f24}"/>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4.调剂资产查询</w:t>
                  </w:r>
                </w:sdtContent>
              </w:sdt>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29</w:t>
              </w:r>
            </w:p>
            <w:p>
              <w:pPr>
                <w:pStyle w:val="20"/>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_Toc10315_WPSOffice_Level3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f9a129c7-97cc-49d0-8531-feef9923c816}"/>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5.调剂广场</w:t>
                  </w:r>
                </w:sdtContent>
              </w:sdt>
              <w:r>
                <w:rPr>
                  <w:rFonts w:hint="eastAsia" w:ascii="仿宋" w:hAnsi="仿宋" w:eastAsia="仿宋" w:cs="仿宋"/>
                  <w:sz w:val="30"/>
                  <w:szCs w:val="30"/>
                </w:rPr>
                <w:tab/>
              </w:r>
              <w:bookmarkStart w:id="11" w:name="_Toc10315_WPSOffice_Level3Page"/>
              <w:r>
                <w:rPr>
                  <w:rFonts w:hint="eastAsia" w:ascii="仿宋" w:hAnsi="仿宋" w:eastAsia="仿宋" w:cs="仿宋"/>
                  <w:sz w:val="30"/>
                  <w:szCs w:val="30"/>
                </w:rPr>
                <w:t>30</w:t>
              </w:r>
              <w:bookmarkEnd w:id="11"/>
              <w:r>
                <w:rPr>
                  <w:rFonts w:hint="eastAsia" w:ascii="仿宋" w:hAnsi="仿宋" w:eastAsia="仿宋" w:cs="仿宋"/>
                  <w:sz w:val="30"/>
                  <w:szCs w:val="30"/>
                </w:rPr>
                <w:fldChar w:fldCharType="end"/>
              </w:r>
            </w:p>
            <w:p>
              <w:pPr>
                <w:pStyle w:val="19"/>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_Toc25384_WPSOffice_Level2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2328498f-d0ac-46a4-83cf-fe4aedcba69d}"/>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（三）调剂共享需求</w:t>
                  </w:r>
                </w:sdtContent>
              </w:sdt>
              <w:r>
                <w:rPr>
                  <w:rFonts w:hint="eastAsia" w:ascii="仿宋" w:hAnsi="仿宋" w:eastAsia="仿宋" w:cs="仿宋"/>
                  <w:sz w:val="30"/>
                  <w:szCs w:val="30"/>
                </w:rPr>
                <w:tab/>
              </w:r>
              <w:bookmarkStart w:id="12" w:name="_Toc25384_WPSOffice_Level2Page"/>
              <w:r>
                <w:rPr>
                  <w:rFonts w:hint="eastAsia" w:ascii="仿宋" w:hAnsi="仿宋" w:eastAsia="仿宋" w:cs="仿宋"/>
                  <w:sz w:val="30"/>
                  <w:szCs w:val="30"/>
                </w:rPr>
                <w:t>3</w:t>
              </w:r>
              <w:bookmarkEnd w:id="12"/>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6</w:t>
              </w:r>
            </w:p>
            <w:p>
              <w:pPr>
                <w:pStyle w:val="20"/>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_Toc2580_WPSOffice_Level3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b41d0304-8d9f-4336-949b-690586934a3d}"/>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1.我的需求发布</w:t>
                  </w:r>
                </w:sdtContent>
              </w:sdt>
              <w:r>
                <w:rPr>
                  <w:rFonts w:hint="eastAsia" w:ascii="仿宋" w:hAnsi="仿宋" w:eastAsia="仿宋" w:cs="仿宋"/>
                  <w:sz w:val="30"/>
                  <w:szCs w:val="30"/>
                </w:rPr>
                <w:tab/>
              </w:r>
              <w:bookmarkStart w:id="13" w:name="_Toc2580_WPSOffice_Level3Page"/>
              <w:r>
                <w:rPr>
                  <w:rFonts w:hint="eastAsia" w:ascii="仿宋" w:hAnsi="仿宋" w:eastAsia="仿宋" w:cs="仿宋"/>
                  <w:sz w:val="30"/>
                  <w:szCs w:val="30"/>
                </w:rPr>
                <w:t>3</w:t>
              </w:r>
              <w:bookmarkEnd w:id="13"/>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6</w:t>
              </w:r>
            </w:p>
            <w:p>
              <w:pPr>
                <w:pStyle w:val="20"/>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_Toc16305_WPSOffice_Level3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774b83d1-2f9c-42e6-9c81-79ee178fc707}"/>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2.我的需求审核</w:t>
                  </w:r>
                </w:sdtContent>
              </w:sdt>
              <w:r>
                <w:rPr>
                  <w:rFonts w:hint="eastAsia" w:ascii="仿宋" w:hAnsi="仿宋" w:eastAsia="仿宋" w:cs="仿宋"/>
                  <w:sz w:val="30"/>
                  <w:szCs w:val="30"/>
                </w:rPr>
                <w:tab/>
              </w:r>
              <w:bookmarkStart w:id="14" w:name="_Toc16305_WPSOffice_Level3Page"/>
              <w:r>
                <w:rPr>
                  <w:rFonts w:hint="eastAsia" w:ascii="仿宋" w:hAnsi="仿宋" w:eastAsia="仿宋" w:cs="仿宋"/>
                  <w:sz w:val="30"/>
                  <w:szCs w:val="30"/>
                </w:rPr>
                <w:t>4</w:t>
              </w:r>
              <w:bookmarkEnd w:id="14"/>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0</w:t>
              </w:r>
            </w:p>
            <w:p>
              <w:pPr>
                <w:pStyle w:val="20"/>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_Toc22815_WPSOffice_Level3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53c0449b-2129-4076-a216-9574745ecd54}"/>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3.我的需求管理</w:t>
                  </w:r>
                </w:sdtContent>
              </w:sdt>
              <w:r>
                <w:rPr>
                  <w:rFonts w:hint="eastAsia" w:ascii="仿宋" w:hAnsi="仿宋" w:eastAsia="仿宋" w:cs="仿宋"/>
                  <w:sz w:val="30"/>
                  <w:szCs w:val="30"/>
                </w:rPr>
                <w:tab/>
              </w:r>
              <w:bookmarkStart w:id="15" w:name="_Toc22815_WPSOffice_Level3Page"/>
              <w:r>
                <w:rPr>
                  <w:rFonts w:hint="eastAsia" w:ascii="仿宋" w:hAnsi="仿宋" w:eastAsia="仿宋" w:cs="仿宋"/>
                  <w:sz w:val="30"/>
                  <w:szCs w:val="30"/>
                </w:rPr>
                <w:t>4</w:t>
              </w:r>
              <w:bookmarkEnd w:id="15"/>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2</w:t>
              </w:r>
            </w:p>
            <w:p>
              <w:pPr>
                <w:pStyle w:val="20"/>
                <w:tabs>
                  <w:tab w:val="right" w:leader="dot" w:pos="8306"/>
                </w:tabs>
                <w:rPr>
                  <w:rFonts w:hint="eastAsia" w:ascii="仿宋" w:hAnsi="仿宋" w:eastAsia="仿宋" w:cs="仿宋"/>
                  <w:sz w:val="30"/>
                  <w:szCs w:val="30"/>
                  <w:lang w:eastAsia="zh-CN"/>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_Toc15477_WPSOffice_Level3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c8664fe8-a7d8-483d-bfdf-616633b12a7b}"/>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4.我的需求查询</w:t>
                  </w:r>
                </w:sdtContent>
              </w:sdt>
              <w:r>
                <w:rPr>
                  <w:rFonts w:hint="eastAsia" w:ascii="仿宋" w:hAnsi="仿宋" w:eastAsia="仿宋" w:cs="仿宋"/>
                  <w:sz w:val="30"/>
                  <w:szCs w:val="30"/>
                </w:rPr>
                <w:tab/>
              </w:r>
              <w:bookmarkStart w:id="16" w:name="_Toc15477_WPSOffice_Level3Page"/>
              <w:r>
                <w:rPr>
                  <w:rFonts w:hint="eastAsia" w:ascii="仿宋" w:hAnsi="仿宋" w:eastAsia="仿宋" w:cs="仿宋"/>
                  <w:sz w:val="30"/>
                  <w:szCs w:val="30"/>
                </w:rPr>
                <w:t>4</w:t>
              </w:r>
              <w:bookmarkEnd w:id="16"/>
              <w:r>
                <w:rPr>
                  <w:rFonts w:hint="eastAsia" w:ascii="仿宋" w:hAnsi="仿宋" w:eastAsia="仿宋" w:cs="仿宋"/>
                  <w:sz w:val="30"/>
                  <w:szCs w:val="30"/>
                </w:rPr>
                <w:fldChar w:fldCharType="end"/>
              </w:r>
              <w:r>
                <w:rPr>
                  <w:rFonts w:hint="eastAsia" w:ascii="仿宋" w:hAnsi="仿宋" w:eastAsia="仿宋" w:cs="仿宋"/>
                  <w:sz w:val="30"/>
                  <w:szCs w:val="30"/>
                  <w:lang w:val="en-US" w:eastAsia="zh-CN"/>
                </w:rPr>
                <w:t>5</w:t>
              </w:r>
            </w:p>
            <w:p>
              <w:pPr>
                <w:pStyle w:val="20"/>
                <w:tabs>
                  <w:tab w:val="right" w:leader="dot" w:pos="8306"/>
                </w:tabs>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_Toc10305_WPSOffice_Level3 </w:instrText>
              </w:r>
              <w:r>
                <w:rPr>
                  <w:rFonts w:hint="eastAsia" w:ascii="仿宋" w:hAnsi="仿宋" w:eastAsia="仿宋" w:cs="仿宋"/>
                  <w:sz w:val="30"/>
                  <w:szCs w:val="30"/>
                </w:rPr>
                <w:fldChar w:fldCharType="separate"/>
              </w:r>
              <w:sdt>
                <w:sdtPr>
                  <w:rPr>
                    <w:rFonts w:hint="eastAsia" w:ascii="仿宋" w:hAnsi="仿宋" w:eastAsia="仿宋" w:cs="仿宋"/>
                    <w:kern w:val="2"/>
                    <w:sz w:val="30"/>
                    <w:szCs w:val="30"/>
                    <w:lang w:val="en-US" w:eastAsia="zh-CN" w:bidi="ar-SA"/>
                  </w:rPr>
                  <w:id w:val="147483625"/>
                  <w:placeholder>
                    <w:docPart w:val="{2db96806-87ea-4ec8-b9a5-d03392faf098}"/>
                  </w:placeholder>
                </w:sdtPr>
                <w:sdtEndPr>
                  <w:rPr>
                    <w:rFonts w:hint="eastAsia" w:ascii="仿宋" w:hAnsi="仿宋" w:eastAsia="仿宋" w:cs="仿宋"/>
                    <w:kern w:val="2"/>
                    <w:sz w:val="30"/>
                    <w:szCs w:val="30"/>
                    <w:lang w:val="en-US" w:eastAsia="zh-CN" w:bidi="ar-SA"/>
                  </w:rPr>
                </w:sdtEndPr>
                <w:sdtContent>
                  <w:r>
                    <w:rPr>
                      <w:rFonts w:hint="eastAsia" w:ascii="仿宋" w:hAnsi="仿宋" w:eastAsia="仿宋" w:cs="仿宋"/>
                      <w:sz w:val="30"/>
                      <w:szCs w:val="30"/>
                    </w:rPr>
                    <w:t>5.需求广场</w:t>
                  </w:r>
                </w:sdtContent>
              </w:sdt>
              <w:r>
                <w:rPr>
                  <w:rFonts w:hint="eastAsia" w:ascii="仿宋" w:hAnsi="仿宋" w:eastAsia="仿宋" w:cs="仿宋"/>
                  <w:sz w:val="30"/>
                  <w:szCs w:val="30"/>
                </w:rPr>
                <w:tab/>
              </w:r>
              <w:bookmarkStart w:id="17" w:name="_Toc10305_WPSOffice_Level3Page"/>
              <w:r>
                <w:rPr>
                  <w:rFonts w:hint="eastAsia" w:ascii="仿宋" w:hAnsi="仿宋" w:eastAsia="仿宋" w:cs="仿宋"/>
                  <w:sz w:val="30"/>
                  <w:szCs w:val="30"/>
                </w:rPr>
                <w:t>4</w:t>
              </w:r>
              <w:bookmarkEnd w:id="17"/>
              <w:r>
                <w:rPr>
                  <w:rFonts w:hint="eastAsia" w:ascii="仿宋" w:hAnsi="仿宋" w:eastAsia="仿宋" w:cs="仿宋"/>
                  <w:sz w:val="30"/>
                  <w:szCs w:val="30"/>
                </w:rPr>
                <w:fldChar w:fldCharType="end"/>
              </w:r>
              <w:bookmarkEnd w:id="1"/>
              <w:r>
                <w:rPr>
                  <w:rFonts w:hint="eastAsia" w:ascii="仿宋" w:hAnsi="仿宋" w:eastAsia="仿宋" w:cs="仿宋"/>
                  <w:sz w:val="30"/>
                  <w:szCs w:val="30"/>
                  <w:lang w:val="en-US" w:eastAsia="zh-CN"/>
                </w:rPr>
                <w:t>5</w:t>
              </w:r>
              <w:bookmarkStart w:id="92" w:name="_GoBack"/>
              <w:bookmarkEnd w:id="92"/>
            </w:p>
          </w:sdtContent>
        </w:sdt>
        <w:p>
          <w:pPr>
            <w:pStyle w:val="17"/>
            <w:ind w:firstLine="0" w:firstLineChars="0"/>
            <w:jc w:val="left"/>
            <w:rPr>
              <w:rFonts w:ascii="宋体" w:hAnsi="宋体" w:eastAsia="宋体" w:cs="宋体"/>
              <w:kern w:val="2"/>
              <w:sz w:val="24"/>
              <w:szCs w:val="24"/>
              <w:lang w:val="en-US" w:eastAsia="zh-CN" w:bidi="ar-SA"/>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sdtContent>
    </w:sdt>
    <w:bookmarkEnd w:id="0"/>
    <w:p>
      <w:pPr>
        <w:bidi w:val="0"/>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en-US"/>
        </w:rPr>
        <w:t>为进一步提高行政事业单位国有资产配置和使用效益，强化财政资源和预算统筹，财政部依托预算管理一体化系统建立全国行政事业单位国有资产调剂共享平台,打通中央和地方的资产调剂共享信息通道，实现行政事业单位国有资产跨部门、跨级次、跨地区调剂共享。</w:t>
      </w:r>
      <w:r>
        <w:rPr>
          <w:rFonts w:hint="eastAsia" w:ascii="仿宋" w:hAnsi="仿宋" w:eastAsia="仿宋" w:cs="仿宋"/>
          <w:sz w:val="30"/>
          <w:szCs w:val="30"/>
          <w:lang w:val="en-US" w:eastAsia="zh-CN"/>
        </w:rPr>
        <w:t>2025年5月，海南省预算管理一体化系统在资产管理模块里面也开始上线资产调剂共享平台功能，并逐步跟财政部国有资产调剂共享平台实现数据对接。</w:t>
      </w:r>
    </w:p>
    <w:p>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资产调剂共享</w:t>
      </w:r>
      <w:r>
        <w:rPr>
          <w:rFonts w:hint="eastAsia" w:ascii="仿宋" w:hAnsi="仿宋" w:eastAsia="仿宋" w:cs="仿宋"/>
          <w:i w:val="0"/>
          <w:caps w:val="0"/>
          <w:spacing w:val="0"/>
          <w:kern w:val="2"/>
          <w:sz w:val="30"/>
          <w:szCs w:val="30"/>
          <w:shd w:val="clear"/>
          <w:lang w:val="en-US" w:eastAsia="zh-CN" w:bidi="ar-SA"/>
        </w:rPr>
        <w:t>平台充分利用了行政事业单位现有资产管理基础条件，进一步提高预算管理一体化系统运行效果，具有成本低、效率高、信息充分等优势，是有效盘活并高效使用行政事业单位国有资产的重要举措。各部门及其所属单位、各市（县）要充分认识运用</w:t>
      </w:r>
      <w:r>
        <w:rPr>
          <w:rFonts w:hint="eastAsia" w:ascii="仿宋" w:hAnsi="仿宋" w:eastAsia="仿宋" w:cs="仿宋"/>
          <w:sz w:val="30"/>
          <w:szCs w:val="30"/>
          <w:lang w:val="en-US" w:eastAsia="zh-CN"/>
        </w:rPr>
        <w:t>资产调剂共享平台</w:t>
      </w:r>
      <w:r>
        <w:rPr>
          <w:rFonts w:hint="eastAsia" w:ascii="仿宋" w:hAnsi="仿宋" w:eastAsia="仿宋" w:cs="仿宋"/>
          <w:i w:val="0"/>
          <w:caps w:val="0"/>
          <w:spacing w:val="0"/>
          <w:kern w:val="2"/>
          <w:sz w:val="30"/>
          <w:szCs w:val="30"/>
          <w:shd w:val="clear"/>
          <w:lang w:val="en-US" w:eastAsia="zh-CN" w:bidi="ar-SA"/>
        </w:rPr>
        <w:t>加强资产调剂共享的重大意义和重要作用，树立勤俭节约、讲求绩效的理念，积极主动作为，压实工作责任，确保全国资产调剂共享工作扎实推进。</w:t>
      </w:r>
    </w:p>
    <w:p>
      <w:pPr>
        <w:pStyle w:val="2"/>
        <w:ind w:firstLine="600" w:firstLineChars="200"/>
        <w:outlineLvl w:val="0"/>
        <w:rPr>
          <w:rFonts w:hint="eastAsia" w:ascii="黑体" w:hAnsi="黑体" w:eastAsia="黑体" w:cs="黑体"/>
          <w:sz w:val="30"/>
          <w:szCs w:val="30"/>
          <w:lang w:val="en-US" w:eastAsia="zh-CN"/>
        </w:rPr>
      </w:pPr>
      <w:bookmarkStart w:id="18" w:name="_Toc25753_WPSOffice_Level1"/>
      <w:r>
        <w:rPr>
          <w:rFonts w:hint="eastAsia" w:ascii="黑体" w:hAnsi="黑体" w:eastAsia="黑体" w:cs="黑体"/>
          <w:sz w:val="30"/>
          <w:szCs w:val="30"/>
          <w:lang w:val="en-US" w:eastAsia="zh-CN"/>
        </w:rPr>
        <w:t>一、系统简介</w:t>
      </w:r>
      <w:bookmarkEnd w:id="18"/>
    </w:p>
    <w:p>
      <w:pPr>
        <w:spacing w:line="360" w:lineRule="auto"/>
        <w:ind w:firstLine="600" w:firstLineChars="200"/>
        <w:rPr>
          <w:rFonts w:hint="eastAsia" w:ascii="仿宋" w:hAnsi="仿宋" w:eastAsia="仿宋" w:cs="仿宋"/>
          <w:sz w:val="30"/>
          <w:szCs w:val="30"/>
          <w:lang w:eastAsia="en-US"/>
        </w:rPr>
      </w:pPr>
      <w:r>
        <w:rPr>
          <w:rFonts w:hint="eastAsia" w:ascii="仿宋" w:hAnsi="仿宋" w:eastAsia="仿宋" w:cs="仿宋"/>
          <w:sz w:val="30"/>
          <w:szCs w:val="30"/>
          <w:lang w:val="en-US" w:eastAsia="zh-CN"/>
        </w:rPr>
        <w:t>资产调剂共享平台主要包含</w:t>
      </w:r>
      <w:r>
        <w:rPr>
          <w:rFonts w:hint="eastAsia" w:ascii="仿宋" w:hAnsi="仿宋" w:eastAsia="仿宋" w:cs="仿宋"/>
          <w:sz w:val="30"/>
          <w:szCs w:val="30"/>
          <w:lang w:eastAsia="en-US"/>
        </w:rPr>
        <w:t>六个功能模块：</w:t>
      </w:r>
      <w:r>
        <w:rPr>
          <w:rFonts w:hint="eastAsia" w:ascii="仿宋" w:hAnsi="仿宋" w:eastAsia="仿宋" w:cs="仿宋"/>
          <w:b/>
          <w:bCs/>
          <w:sz w:val="30"/>
          <w:szCs w:val="30"/>
          <w:lang w:eastAsia="en-US"/>
        </w:rPr>
        <w:t>一是调剂广场</w:t>
      </w:r>
      <w:r>
        <w:rPr>
          <w:rFonts w:hint="eastAsia" w:ascii="仿宋" w:hAnsi="仿宋" w:eastAsia="仿宋" w:cs="仿宋"/>
          <w:sz w:val="30"/>
          <w:szCs w:val="30"/>
          <w:lang w:eastAsia="en-US"/>
        </w:rPr>
        <w:t>。可展示财政部已完成审核可全国调剂的资产信息，单位结合资产配置需求，可在调剂广场查找符合本单位使用需求的资产，通过线下沟通达成一致意见，按照资产处置办法办理调剂审批事项。</w:t>
      </w:r>
      <w:r>
        <w:rPr>
          <w:rFonts w:hint="eastAsia" w:ascii="仿宋" w:hAnsi="仿宋" w:eastAsia="仿宋" w:cs="仿宋"/>
          <w:b/>
          <w:bCs/>
          <w:sz w:val="30"/>
          <w:szCs w:val="30"/>
          <w:lang w:eastAsia="en-US"/>
        </w:rPr>
        <w:t>二是共享广场。</w:t>
      </w:r>
      <w:r>
        <w:rPr>
          <w:rFonts w:hint="eastAsia" w:ascii="仿宋" w:hAnsi="仿宋" w:eastAsia="仿宋" w:cs="仿宋"/>
          <w:sz w:val="30"/>
          <w:szCs w:val="30"/>
          <w:lang w:eastAsia="en-US"/>
        </w:rPr>
        <w:t>结合单位业务需要，可在共享广场查找办公用房、大型科研仪器设备等符合本单位使用需求的资产，通过线下沟通达成一致意见，按照资产使用办法办理共享事项。</w:t>
      </w:r>
      <w:r>
        <w:rPr>
          <w:rFonts w:hint="eastAsia" w:ascii="仿宋" w:hAnsi="仿宋" w:eastAsia="仿宋" w:cs="仿宋"/>
          <w:b/>
          <w:bCs/>
          <w:sz w:val="30"/>
          <w:szCs w:val="30"/>
          <w:lang w:eastAsia="en-US"/>
        </w:rPr>
        <w:t>三是需求广场。</w:t>
      </w:r>
      <w:r>
        <w:rPr>
          <w:rFonts w:hint="eastAsia" w:ascii="仿宋" w:hAnsi="仿宋" w:eastAsia="仿宋" w:cs="仿宋"/>
          <w:sz w:val="30"/>
          <w:szCs w:val="30"/>
          <w:lang w:eastAsia="en-US"/>
        </w:rPr>
        <w:t>可在此查看其他单位发布的资产调剂共享需求，如本单位有符合的资产，经线下沟通达成一致意见，可将资产调剂共享至需求单位。</w:t>
      </w:r>
      <w:r>
        <w:rPr>
          <w:rFonts w:hint="eastAsia" w:ascii="仿宋" w:hAnsi="仿宋" w:eastAsia="仿宋" w:cs="仿宋"/>
          <w:b/>
          <w:bCs/>
          <w:sz w:val="30"/>
          <w:szCs w:val="30"/>
          <w:lang w:eastAsia="en-US"/>
        </w:rPr>
        <w:t>四是调剂资产。</w:t>
      </w:r>
      <w:r>
        <w:rPr>
          <w:rFonts w:hint="eastAsia" w:ascii="仿宋" w:hAnsi="仿宋" w:eastAsia="仿宋" w:cs="仿宋"/>
          <w:sz w:val="30"/>
          <w:szCs w:val="30"/>
          <w:lang w:eastAsia="en-US"/>
        </w:rPr>
        <w:t>单位可在此查看本单位资产信息卡数据，选择闲置、待处置（但可由其他单位继续使用）等其他可调剂资产进行发布操作，发布完成后可调剂资产信息将发布至调剂广场。</w:t>
      </w:r>
      <w:r>
        <w:rPr>
          <w:rFonts w:hint="eastAsia" w:ascii="仿宋" w:hAnsi="仿宋" w:eastAsia="仿宋" w:cs="仿宋"/>
          <w:b/>
          <w:bCs/>
          <w:sz w:val="30"/>
          <w:szCs w:val="30"/>
          <w:lang w:eastAsia="en-US"/>
        </w:rPr>
        <w:t>五是共享资产。</w:t>
      </w:r>
      <w:r>
        <w:rPr>
          <w:rFonts w:hint="eastAsia" w:ascii="仿宋" w:hAnsi="仿宋" w:eastAsia="仿宋" w:cs="仿宋"/>
          <w:sz w:val="30"/>
          <w:szCs w:val="30"/>
          <w:lang w:eastAsia="en-US"/>
        </w:rPr>
        <w:t>单位可在此查看本单位资产信息卡数据，选择“是否共享共用”为“是”的可共享资产进行发布操作，发布完成后可共享资产信息将发布至共享广场。</w:t>
      </w:r>
      <w:r>
        <w:rPr>
          <w:rFonts w:hint="eastAsia" w:ascii="仿宋" w:hAnsi="仿宋" w:eastAsia="仿宋" w:cs="仿宋"/>
          <w:b/>
          <w:bCs/>
          <w:sz w:val="30"/>
          <w:szCs w:val="30"/>
          <w:lang w:eastAsia="en-US"/>
        </w:rPr>
        <w:t>六是我的需求。</w:t>
      </w:r>
      <w:r>
        <w:rPr>
          <w:rFonts w:hint="eastAsia" w:ascii="仿宋" w:hAnsi="仿宋" w:eastAsia="仿宋" w:cs="仿宋"/>
          <w:sz w:val="30"/>
          <w:szCs w:val="30"/>
          <w:lang w:eastAsia="en-US"/>
        </w:rPr>
        <w:t>单位结合资产配置需求，可发布及管理本单位的资产调剂共享需求。</w:t>
      </w:r>
    </w:p>
    <w:p>
      <w:pPr>
        <w:spacing w:line="360" w:lineRule="auto"/>
        <w:ind w:firstLine="600" w:firstLineChars="200"/>
        <w:rPr>
          <w:rFonts w:hint="eastAsia" w:ascii="仿宋" w:hAnsi="仿宋" w:eastAsia="仿宋" w:cs="仿宋"/>
          <w:sz w:val="30"/>
          <w:szCs w:val="30"/>
          <w:lang w:eastAsia="en-US"/>
        </w:rPr>
      </w:pPr>
      <w:r>
        <w:rPr>
          <w:rFonts w:hint="eastAsia" w:ascii="仿宋" w:hAnsi="仿宋" w:eastAsia="仿宋" w:cs="仿宋"/>
          <w:sz w:val="30"/>
          <w:szCs w:val="30"/>
          <w:lang w:eastAsia="en-US"/>
        </w:rPr>
        <w:t>各</w:t>
      </w:r>
      <w:r>
        <w:rPr>
          <w:rFonts w:hint="eastAsia" w:ascii="仿宋" w:hAnsi="仿宋" w:eastAsia="仿宋" w:cs="仿宋"/>
          <w:sz w:val="30"/>
          <w:szCs w:val="30"/>
          <w:lang w:val="en-US" w:eastAsia="zh-CN"/>
        </w:rPr>
        <w:t>市县、</w:t>
      </w:r>
      <w:r>
        <w:rPr>
          <w:rFonts w:hint="eastAsia" w:ascii="仿宋" w:hAnsi="仿宋" w:eastAsia="仿宋" w:cs="仿宋"/>
          <w:sz w:val="30"/>
          <w:szCs w:val="30"/>
          <w:lang w:eastAsia="en-US"/>
        </w:rPr>
        <w:t>部门及其所属单位可根据实际情况，通过信息卡变动功能，完善“资产状态”或“是否共享共用”字段。进而识别低效闲置、待处置但可满足低需求使用、可共享共用的资产，经审核通过后，发布到调剂共享平台。同时，单位也要及时更新资产信息，对不具备或已完成调剂共享的资产及时进行下架和结果登记处理。</w:t>
      </w:r>
    </w:p>
    <w:p>
      <w:pPr>
        <w:spacing w:line="360" w:lineRule="auto"/>
        <w:ind w:firstLine="600" w:firstLineChars="200"/>
        <w:rPr>
          <w:rFonts w:hint="eastAsia" w:ascii="楷体" w:hAnsi="楷体" w:eastAsia="楷体" w:cs="楷体"/>
          <w:sz w:val="39"/>
          <w:szCs w:val="39"/>
        </w:rPr>
      </w:pPr>
      <w:r>
        <w:rPr>
          <w:rFonts w:hint="eastAsia" w:ascii="仿宋" w:hAnsi="仿宋" w:eastAsia="仿宋" w:cs="仿宋"/>
          <w:sz w:val="30"/>
          <w:szCs w:val="30"/>
          <w:lang w:val="en-US" w:eastAsia="zh-CN"/>
        </w:rPr>
        <w:t>按财政部的要求：</w:t>
      </w:r>
      <w:r>
        <w:rPr>
          <w:rFonts w:hint="eastAsia" w:ascii="仿宋" w:hAnsi="仿宋" w:eastAsia="仿宋" w:cs="仿宋"/>
          <w:sz w:val="30"/>
          <w:szCs w:val="30"/>
          <w:lang w:eastAsia="en-US"/>
        </w:rPr>
        <w:t>行政事业单位运用平台开展资产调剂共享工作各中央部门和地方财政部门要充分应用平台功能，积极推动本部门、本地区的行政事业单位通过预算管理一体化系统夯实资产管理基础数据、发布与更新资产调剂共享信息、开展资产调剂共享工作。各行政事业单位应于 2025 年 6 月30 日前全面完成调剂共享资产信息的录入工作。</w:t>
      </w:r>
      <w:r>
        <w:rPr>
          <w:rFonts w:hint="eastAsia" w:ascii="仿宋" w:hAnsi="仿宋" w:eastAsia="仿宋" w:cs="仿宋"/>
          <w:sz w:val="30"/>
          <w:szCs w:val="30"/>
          <w:lang w:eastAsia="en-US"/>
        </w:rPr>
        <w:br w:type="textWrapping"/>
      </w:r>
      <w:r>
        <w:rPr>
          <w:rFonts w:hint="eastAsia" w:ascii="Arial" w:hAnsi="Arial" w:eastAsia="华文仿宋" w:cs="Times New Roman"/>
          <w:b/>
          <w:bCs/>
          <w:kern w:val="0"/>
          <w:sz w:val="30"/>
          <w:szCs w:val="30"/>
          <w:lang w:val="en-US" w:eastAsia="en-US"/>
        </w:rPr>
        <w:t xml:space="preserve">    </w:t>
      </w:r>
      <w:r>
        <w:rPr>
          <w:rFonts w:hint="eastAsia" w:ascii="楷体" w:hAnsi="楷体" w:eastAsia="楷体" w:cs="楷体"/>
          <w:b w:val="0"/>
          <w:bCs w:val="0"/>
          <w:kern w:val="0"/>
          <w:sz w:val="30"/>
          <w:szCs w:val="30"/>
          <w:lang w:eastAsia="en-US"/>
        </w:rPr>
        <w:t>（一）行政事业单位盘点闲置低效资产</w:t>
      </w:r>
    </w:p>
    <w:p>
      <w:pPr>
        <w:spacing w:line="360" w:lineRule="auto"/>
        <w:ind w:firstLine="600" w:firstLineChars="200"/>
        <w:rPr>
          <w:rFonts w:hint="eastAsia" w:ascii="仿宋" w:hAnsi="仿宋" w:eastAsia="仿宋" w:cs="仿宋"/>
          <w:sz w:val="30"/>
          <w:szCs w:val="30"/>
          <w:lang w:eastAsia="en-US"/>
        </w:rPr>
      </w:pPr>
      <w:r>
        <w:rPr>
          <w:rFonts w:hint="eastAsia" w:ascii="仿宋" w:hAnsi="仿宋" w:eastAsia="仿宋" w:cs="仿宋"/>
          <w:i w:val="0"/>
          <w:caps w:val="0"/>
          <w:spacing w:val="0"/>
          <w:kern w:val="2"/>
          <w:sz w:val="30"/>
          <w:szCs w:val="30"/>
          <w:shd w:val="clear"/>
          <w:lang w:val="en-US" w:eastAsia="en-US" w:bidi="ar"/>
        </w:rPr>
        <w:t>各部门及其所属单位，各市（县）应当依托预算管理一体化系统资产管理模块按规定定期组织开展资产盘点工作，</w:t>
      </w:r>
      <w:r>
        <w:rPr>
          <w:rFonts w:hint="eastAsia" w:ascii="仿宋" w:hAnsi="仿宋" w:eastAsia="仿宋" w:cs="仿宋"/>
          <w:sz w:val="30"/>
          <w:szCs w:val="30"/>
          <w:lang w:eastAsia="en-US"/>
        </w:rPr>
        <w:t>建立盘点任务，将盘点工作逐级下发至内设机构及具体资产使用人，通过APP盘点、扫码枪（二维码、条形码）盘点、手工盘点等多种盘点方式，确认资产实际使用状况，根据盘点结果更新</w:t>
      </w:r>
      <w:r>
        <w:rPr>
          <w:rFonts w:hint="eastAsia" w:ascii="仿宋" w:hAnsi="仿宋" w:eastAsia="仿宋" w:cs="仿宋"/>
          <w:i w:val="0"/>
          <w:caps w:val="0"/>
          <w:spacing w:val="0"/>
          <w:kern w:val="2"/>
          <w:sz w:val="30"/>
          <w:szCs w:val="30"/>
          <w:shd w:val="clear"/>
          <w:lang w:val="en-US" w:eastAsia="en-US" w:bidi="ar"/>
        </w:rPr>
        <w:t>资产卡片基本信息、财务信息、使用信息和特性信息，并在资产信息卡“照片”栏上传对应资产照片，为实现账实相符奠定基础。</w:t>
      </w:r>
      <w:r>
        <w:rPr>
          <w:rFonts w:hint="eastAsia" w:ascii="仿宋" w:hAnsi="仿宋" w:eastAsia="仿宋" w:cs="仿宋"/>
          <w:sz w:val="30"/>
          <w:szCs w:val="30"/>
          <w:lang w:eastAsia="en-US"/>
        </w:rPr>
        <w:t>加强资产管理基础数据治理。</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日常资产管理工作中，要及时录入、完善各类资产信息卡内容。对于闲置、待处置的资产，资产管理经办岗应及时通过信息卡变动功能将资产状态变动为“闲置、待处置”，并经资产管理审核岗审批通过后，更新资产信息卡信息；对于“是否共享共用”发生变化的资产，亦可通过信息卡变动功能进行资产信息维护；对于已完成出租出借的资产，要通过“资产出租出借收回”功能及时收回，并根据实际情况判断收回资产的资产状态是否为“闲置、待处置”；对于拆分的资产信息卡，要准确标注拆分后每一张信息卡的“资产状态”、“是否共享共用”等字段信息。及时准确标注“资产状态”、“是否共享共用”等信息后，预算管理一体化系统资产管理模块将根据内置的规则公式，自动过滤筛选展示可发布至平台的资产。单位要将过滤后可发布的低效闲置、待处置但可满足低需求使用、可共享共用的资产，经审核后及时发布到平台。</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同时鼓励单位要运用物联网技术开展资产运行情况的动态监测，通过光电式传感器、温度传感器、位置传感器等设备采集仪获取设备的使用时长、使用频率及地理位置等信息，并将采集后的数据传入资产动态监管功能，实时掌握资产使用情况。经系统后台数据统计分析后，将提示具备纳入调剂共享范围条件的资产，以满足盘活资产的需要。</w:t>
      </w:r>
      <w:r>
        <w:rPr>
          <w:rFonts w:hint="eastAsia" w:ascii="仿宋" w:hAnsi="仿宋" w:eastAsia="仿宋" w:cs="仿宋"/>
          <w:sz w:val="30"/>
          <w:szCs w:val="30"/>
          <w:lang w:eastAsia="en-US"/>
        </w:rPr>
        <w:br w:type="textWrapping"/>
      </w:r>
      <w:r>
        <w:rPr>
          <w:rFonts w:hint="eastAsia" w:ascii="Arial" w:hAnsi="Arial" w:eastAsia="华文仿宋" w:cs="Times New Roman"/>
          <w:b/>
          <w:bCs/>
          <w:kern w:val="0"/>
          <w:sz w:val="30"/>
          <w:szCs w:val="30"/>
          <w:lang w:val="en-US" w:eastAsia="en-US"/>
        </w:rPr>
        <w:t xml:space="preserve">    </w:t>
      </w:r>
      <w:r>
        <w:rPr>
          <w:rFonts w:hint="eastAsia" w:ascii="楷体" w:hAnsi="楷体" w:eastAsia="楷体" w:cs="楷体"/>
          <w:b w:val="0"/>
          <w:bCs w:val="0"/>
          <w:kern w:val="0"/>
          <w:sz w:val="30"/>
          <w:szCs w:val="30"/>
          <w:lang w:eastAsia="en-US"/>
        </w:rPr>
        <w:t>（二）行政事业单位发布与更新资产调剂共享信息</w:t>
      </w:r>
      <w:r>
        <w:rPr>
          <w:rFonts w:hint="eastAsia" w:ascii="楷体" w:hAnsi="楷体" w:eastAsia="楷体" w:cs="楷体"/>
          <w:sz w:val="30"/>
          <w:szCs w:val="30"/>
          <w:lang w:eastAsia="en-US"/>
        </w:rPr>
        <w:br w:type="textWrapping"/>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eastAsia="en-US"/>
        </w:rPr>
        <w:t>1.资产调剂共享信息发布</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各部门及其所属单位应将资产信息卡“资产状态”为闲置的资产经审批后及时发布到调剂广场；将待处置但可由其他单位继续使用的资产发布到调剂广场进行公示，供单位调剂使用，实现资产梯度使用、物尽其用，公示期结束后无调剂使用需求的，应按照规定权限履行审批手续，及时处置国有资产；各部门、各地方如果已经建设其他具有部分调剂共享功能的系统，需要做好系统数据与平台的无缝衔接，保证调剂广场数据不重不漏。</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各部门及其所属单位应将资产信息卡“是否共享共用”选择“是”的资产发布到共享广场。各部门、各地方如果已经建设大型科学仪器设施共享服务平台的，要做好共享数据的衔接，保证共享广场数据不重不漏。</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各部门及其所属单位根据需要可以发布资产调剂共享需求到需求广场，准确填写需求类型、资产分类、需求描述等信息，为撮合供需双方信息打好基础。</w:t>
      </w:r>
      <w:r>
        <w:rPr>
          <w:rFonts w:hint="eastAsia" w:ascii="仿宋" w:hAnsi="仿宋" w:eastAsia="仿宋" w:cs="仿宋"/>
          <w:sz w:val="30"/>
          <w:szCs w:val="30"/>
          <w:lang w:eastAsia="en-US"/>
        </w:rPr>
        <w:br w:type="textWrapping"/>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eastAsia="zh-CN"/>
        </w:rPr>
        <w:t>2.资产调剂共享信息变更</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各行政事业单位根据资产使用变化情况，通过数据更新推送机制及时更新调剂共享广场中的资产信息，更新原因主要包括以下两个方面：</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一是因调剂共享业务导致的信息更新。对已完成调剂共享的资产，及时登记“调剂方式、接收方单位名称”等结果信息内容。</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二是因发生资产业务导致的信息更新。根据实际管理需要，单位在预算管理一体化系统资产管理模块办理资产领用、资产维修、资产信息卡变动等业务时，需将变更后的资产信息卡相关信息，同步至资产调剂共享模块，并及时更新已上报至财政部的平台数据。</w:t>
      </w:r>
      <w:r>
        <w:rPr>
          <w:rFonts w:hint="eastAsia" w:ascii="仿宋" w:hAnsi="仿宋" w:eastAsia="仿宋" w:cs="仿宋"/>
          <w:sz w:val="30"/>
          <w:szCs w:val="30"/>
          <w:lang w:eastAsia="en-US"/>
        </w:rPr>
        <w:br w:type="textWrapping"/>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eastAsia="zh-CN"/>
        </w:rPr>
        <w:t>3.资产调剂共享信息下架</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各行政事业单位根据资产使用变化情况，通过数据更新推送机制及时下架调剂共享广场中的资产。一是对不具备调剂共享条件的资产，通过取消发布调剂共享资产，及时进行下架处理。二是根据实际管理需要，进行资产处置、信息卡拆分、资产退库等业务时，应及时进行下架处理。</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Arial" w:hAnsi="Arial" w:eastAsia="华文仿宋" w:cs="Times New Roman"/>
          <w:b/>
          <w:bCs/>
          <w:kern w:val="0"/>
          <w:sz w:val="30"/>
          <w:szCs w:val="30"/>
          <w:lang w:val="en-US" w:eastAsia="en-US"/>
        </w:rPr>
        <w:t xml:space="preserve">  </w:t>
      </w:r>
      <w:r>
        <w:rPr>
          <w:rFonts w:hint="eastAsia" w:ascii="楷体" w:hAnsi="楷体" w:eastAsia="楷体" w:cs="楷体"/>
          <w:b w:val="0"/>
          <w:bCs w:val="0"/>
          <w:kern w:val="0"/>
          <w:sz w:val="30"/>
          <w:szCs w:val="30"/>
          <w:lang w:eastAsia="en-US"/>
        </w:rPr>
        <w:t>（三）行政事业单位办理资产调剂共享业务</w:t>
      </w:r>
      <w:r>
        <w:rPr>
          <w:rFonts w:hint="eastAsia" w:ascii="仿宋" w:hAnsi="仿宋" w:eastAsia="仿宋" w:cs="仿宋"/>
          <w:sz w:val="30"/>
          <w:szCs w:val="30"/>
          <w:lang w:eastAsia="en-US"/>
        </w:rPr>
        <w:br w:type="textWrapping"/>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en-US"/>
        </w:rPr>
        <w:t>各部门及其所属单位通过平台，可以按行政区划、资产分类等多维度筛选全国可调剂共享资产信息。各行政事业单位在资产配置时，优先调剂使用调剂广场资产，确定需要调剂共享的资产，经线下沟通一致，按照行政事业单位国有资产使用或处置审批程序办理调剂共享事项。</w:t>
      </w:r>
    </w:p>
    <w:p>
      <w:pPr>
        <w:spacing w:line="360" w:lineRule="auto"/>
        <w:ind w:firstLine="600" w:firstLineChars="200"/>
        <w:outlineLvl w:val="0"/>
        <w:rPr>
          <w:rFonts w:hint="eastAsia" w:ascii="仿宋" w:hAnsi="仿宋" w:eastAsia="仿宋" w:cs="仿宋"/>
          <w:sz w:val="30"/>
          <w:szCs w:val="30"/>
          <w:lang w:eastAsia="en-US"/>
        </w:rPr>
      </w:pPr>
      <w:bookmarkStart w:id="19" w:name="_Toc16755_WPSOffice_Level1"/>
      <w:r>
        <w:rPr>
          <w:rFonts w:hint="eastAsia" w:ascii="黑体" w:hAnsi="黑体" w:eastAsia="黑体" w:cs="黑体"/>
          <w:sz w:val="30"/>
          <w:szCs w:val="30"/>
          <w:lang w:val="en-US" w:eastAsia="zh-CN"/>
        </w:rPr>
        <w:t>二、业务管理与操作</w:t>
      </w:r>
      <w:bookmarkEnd w:id="19"/>
    </w:p>
    <w:p>
      <w:pPr>
        <w:bidi w:val="0"/>
        <w:spacing w:line="360" w:lineRule="auto"/>
        <w:ind w:firstLine="600" w:firstLineChars="200"/>
        <w:outlineLvl w:val="1"/>
        <w:rPr>
          <w:rFonts w:hint="eastAsia" w:ascii="楷体" w:hAnsi="楷体" w:eastAsia="楷体" w:cs="楷体"/>
          <w:b w:val="0"/>
          <w:bCs w:val="0"/>
          <w:sz w:val="30"/>
          <w:szCs w:val="30"/>
          <w:lang w:val="en-US" w:eastAsia="zh-CN"/>
        </w:rPr>
      </w:pPr>
      <w:bookmarkStart w:id="20" w:name="_Toc3112"/>
      <w:bookmarkStart w:id="21" w:name="_Toc28026"/>
      <w:bookmarkStart w:id="22" w:name="_Toc11590"/>
      <w:bookmarkStart w:id="23" w:name="_Toc16755_WPSOffice_Level2"/>
      <w:r>
        <w:rPr>
          <w:rFonts w:hint="eastAsia" w:ascii="楷体" w:hAnsi="楷体" w:eastAsia="楷体" w:cs="楷体"/>
          <w:b w:val="0"/>
          <w:bCs w:val="0"/>
          <w:sz w:val="30"/>
          <w:szCs w:val="30"/>
          <w:lang w:val="en-US" w:eastAsia="zh-CN"/>
        </w:rPr>
        <w:t>（一）共享资产</w:t>
      </w:r>
      <w:bookmarkEnd w:id="20"/>
      <w:bookmarkEnd w:id="21"/>
      <w:bookmarkEnd w:id="22"/>
      <w:bookmarkEnd w:id="23"/>
    </w:p>
    <w:p>
      <w:pPr>
        <w:bidi w:val="0"/>
        <w:spacing w:line="360" w:lineRule="auto"/>
        <w:ind w:firstLine="600" w:firstLineChars="200"/>
        <w:rPr>
          <w:rFonts w:hint="eastAsia" w:ascii="仿宋" w:hAnsi="仿宋" w:eastAsia="仿宋" w:cs="仿宋"/>
          <w:spacing w:val="0"/>
          <w:kern w:val="2"/>
          <w:sz w:val="30"/>
          <w:szCs w:val="30"/>
          <w:highlight w:val="none"/>
          <w:lang w:val="en-US" w:eastAsia="en-US" w:bidi="ar-SA"/>
        </w:rPr>
      </w:pPr>
      <w:r>
        <w:rPr>
          <w:rFonts w:hint="eastAsia" w:ascii="仿宋" w:hAnsi="仿宋" w:eastAsia="仿宋" w:cs="仿宋"/>
          <w:sz w:val="30"/>
          <w:szCs w:val="30"/>
          <w:lang w:val="en-US" w:eastAsia="en-US"/>
        </w:rPr>
        <w:t>查看本单位资产信息卡数据，选择“是否共享共用”为“是”的可共享资产进行发布操作，发布完成后可共享资产信息将发布至共享广场。</w:t>
      </w:r>
    </w:p>
    <w:p>
      <w:pPr>
        <w:bidi w:val="0"/>
        <w:spacing w:line="360" w:lineRule="auto"/>
        <w:ind w:firstLine="602" w:firstLineChars="200"/>
        <w:outlineLvl w:val="2"/>
        <w:rPr>
          <w:rFonts w:hint="eastAsia" w:ascii="仿宋" w:hAnsi="仿宋" w:eastAsia="仿宋" w:cs="仿宋"/>
          <w:b/>
          <w:bCs/>
          <w:sz w:val="30"/>
          <w:szCs w:val="30"/>
          <w:lang w:val="en-US" w:eastAsia="zh-CN"/>
        </w:rPr>
      </w:pPr>
      <w:bookmarkStart w:id="24" w:name="_Toc16755_WPSOffice_Level3"/>
      <w:bookmarkStart w:id="25" w:name="_Toc1284"/>
      <w:bookmarkStart w:id="26" w:name="_Toc4606"/>
      <w:bookmarkStart w:id="27" w:name="_Toc32078"/>
      <w:r>
        <w:rPr>
          <w:rFonts w:hint="eastAsia" w:ascii="仿宋" w:hAnsi="仿宋" w:eastAsia="仿宋" w:cs="仿宋"/>
          <w:b/>
          <w:bCs/>
          <w:sz w:val="30"/>
          <w:szCs w:val="30"/>
          <w:lang w:val="en-US" w:eastAsia="zh-CN"/>
        </w:rPr>
        <w:t>1.共享资产</w:t>
      </w:r>
      <w:bookmarkEnd w:id="24"/>
      <w:r>
        <w:rPr>
          <w:rFonts w:hint="eastAsia" w:ascii="仿宋" w:hAnsi="仿宋" w:eastAsia="仿宋" w:cs="仿宋"/>
          <w:b/>
          <w:bCs/>
          <w:sz w:val="30"/>
          <w:szCs w:val="30"/>
          <w:lang w:val="en-US" w:eastAsia="zh-CN"/>
        </w:rPr>
        <w:t>发布</w:t>
      </w:r>
      <w:bookmarkEnd w:id="25"/>
      <w:bookmarkEnd w:id="26"/>
      <w:bookmarkEnd w:id="27"/>
    </w:p>
    <w:p>
      <w:pPr>
        <w:pageBreakBefore w:val="0"/>
        <w:widowControl w:val="0"/>
        <w:kinsoku/>
        <w:wordWrap/>
        <w:overflowPunct/>
        <w:topLinePunct w:val="0"/>
        <w:autoSpaceDE/>
        <w:autoSpaceDN/>
        <w:bidi w:val="0"/>
        <w:adjustRightInd/>
        <w:snapToGrid/>
        <w:spacing w:line="578" w:lineRule="atLeast"/>
        <w:ind w:left="0" w:leftChars="0" w:firstLine="636"/>
        <w:jc w:val="both"/>
        <w:textAlignment w:val="auto"/>
        <w:rPr>
          <w:rFonts w:hint="eastAsia" w:ascii="宋体" w:hAnsi="宋体" w:eastAsia="宋体" w:cs="宋体"/>
          <w:spacing w:val="0"/>
          <w:kern w:val="2"/>
          <w:sz w:val="24"/>
          <w:szCs w:val="24"/>
          <w:lang w:val="en-US" w:eastAsia="zh-CN" w:bidi="ar-SA"/>
        </w:rPr>
      </w:pPr>
      <w:r>
        <w:rPr>
          <w:rFonts w:hint="eastAsia" w:ascii="仿宋" w:hAnsi="仿宋" w:eastAsia="仿宋" w:cs="仿宋"/>
          <w:sz w:val="30"/>
          <w:szCs w:val="30"/>
          <w:lang w:val="en-US" w:eastAsia="en-US"/>
        </w:rPr>
        <w:t>具体操作：</w:t>
      </w:r>
      <w:r>
        <w:rPr>
          <w:rFonts w:hint="eastAsia" w:ascii="仿宋" w:hAnsi="仿宋" w:eastAsia="仿宋" w:cs="仿宋"/>
          <w:sz w:val="30"/>
          <w:szCs w:val="30"/>
          <w:lang w:val="en-US" w:eastAsia="zh-CN"/>
        </w:rPr>
        <w:t>登录</w:t>
      </w:r>
      <w:r>
        <w:rPr>
          <w:rFonts w:hint="eastAsia" w:ascii="仿宋" w:hAnsi="仿宋" w:eastAsia="仿宋" w:cs="仿宋"/>
          <w:sz w:val="30"/>
          <w:szCs w:val="30"/>
          <w:lang w:val="en-US" w:eastAsia="en-US"/>
        </w:rPr>
        <w:t>系统，进入</w:t>
      </w:r>
      <w:r>
        <w:rPr>
          <w:rFonts w:hint="eastAsia" w:ascii="仿宋" w:hAnsi="仿宋" w:eastAsia="仿宋" w:cs="仿宋"/>
          <w:sz w:val="30"/>
          <w:szCs w:val="30"/>
          <w:lang w:val="en-US" w:eastAsia="zh-CN"/>
        </w:rPr>
        <w:t>【资产调剂共享】</w:t>
      </w:r>
      <w:r>
        <w:rPr>
          <w:rFonts w:hint="eastAsia" w:ascii="仿宋" w:hAnsi="仿宋" w:eastAsia="仿宋" w:cs="仿宋"/>
          <w:sz w:val="30"/>
          <w:szCs w:val="30"/>
          <w:lang w:val="en-US" w:eastAsia="en-US"/>
        </w:rPr>
        <w:t>--&gt;【共享资产】--&gt;【共享资产发布】页面，点击【新增】</w:t>
      </w:r>
      <w:r>
        <w:rPr>
          <w:rFonts w:hint="eastAsia" w:ascii="仿宋" w:hAnsi="仿宋" w:eastAsia="仿宋" w:cs="仿宋"/>
          <w:sz w:val="30"/>
          <w:szCs w:val="30"/>
          <w:lang w:val="en-US" w:eastAsia="zh-CN"/>
        </w:rPr>
        <w:t>，显示</w:t>
      </w:r>
      <w:r>
        <w:rPr>
          <w:rFonts w:hint="eastAsia" w:ascii="仿宋" w:hAnsi="仿宋" w:eastAsia="仿宋" w:cs="仿宋"/>
          <w:sz w:val="30"/>
          <w:szCs w:val="30"/>
          <w:lang w:val="en-US" w:eastAsia="en-US"/>
        </w:rPr>
        <w:t>如图1-1-1</w:t>
      </w:r>
      <w:r>
        <w:rPr>
          <w:rFonts w:hint="eastAsia" w:ascii="仿宋" w:hAnsi="仿宋" w:eastAsia="仿宋" w:cs="仿宋"/>
          <w:sz w:val="30"/>
          <w:szCs w:val="30"/>
          <w:lang w:val="en-US" w:eastAsia="zh-CN"/>
        </w:rPr>
        <w:t>所示</w:t>
      </w:r>
      <w:r>
        <w:rPr>
          <w:rFonts w:hint="eastAsia" w:ascii="仿宋" w:hAnsi="仿宋" w:eastAsia="仿宋" w:cs="仿宋"/>
          <w:sz w:val="30"/>
          <w:szCs w:val="30"/>
          <w:lang w:val="en-US" w:eastAsia="en-US"/>
        </w:rPr>
        <w:t>，新增共享资产发布单，填写共享发布方信息、调剂共享范围选择全国，则在共享广场的全国界面显示，选择本省至本部门，则在共享广场的本地区显示，资产明细</w:t>
      </w:r>
      <w:r>
        <w:rPr>
          <w:rFonts w:hint="eastAsia" w:ascii="仿宋" w:hAnsi="仿宋" w:eastAsia="仿宋" w:cs="仿宋"/>
          <w:sz w:val="30"/>
          <w:szCs w:val="30"/>
          <w:lang w:val="en-US" w:eastAsia="zh-CN"/>
        </w:rPr>
        <w:t>处点击【选择资产卡片】，选择需要共享的资产卡片</w:t>
      </w:r>
      <w:r>
        <w:rPr>
          <w:rFonts w:hint="eastAsia" w:ascii="仿宋" w:hAnsi="仿宋" w:eastAsia="仿宋" w:cs="仿宋"/>
          <w:sz w:val="30"/>
          <w:szCs w:val="30"/>
          <w:lang w:val="en-US" w:eastAsia="en-US"/>
        </w:rPr>
        <w:t>后点击【保存】，如图1-1-2</w:t>
      </w:r>
      <w:r>
        <w:rPr>
          <w:rFonts w:hint="eastAsia" w:ascii="仿宋" w:hAnsi="仿宋" w:eastAsia="仿宋" w:cs="仿宋"/>
          <w:sz w:val="30"/>
          <w:szCs w:val="30"/>
          <w:lang w:val="en-US" w:eastAsia="zh-CN"/>
        </w:rPr>
        <w:t>所示，显示的</w:t>
      </w:r>
      <w:r>
        <w:rPr>
          <w:rFonts w:hint="eastAsia" w:ascii="仿宋" w:hAnsi="仿宋" w:eastAsia="仿宋" w:cs="仿宋"/>
          <w:sz w:val="30"/>
          <w:szCs w:val="30"/>
          <w:lang w:val="en-US" w:eastAsia="en-US"/>
        </w:rPr>
        <w:t>是资产卡片使用信息“是否共享共用”为“是”的卡片方能显示在【选择卡片资产】方框。</w:t>
      </w:r>
      <w:r>
        <w:rPr>
          <w:rFonts w:hint="eastAsia" w:ascii="仿宋" w:hAnsi="仿宋" w:eastAsia="仿宋" w:cs="仿宋"/>
          <w:sz w:val="30"/>
          <w:szCs w:val="30"/>
          <w:lang w:val="en-US" w:eastAsia="zh-CN"/>
        </w:rPr>
        <w:t>如果卡片没有上传照片，</w:t>
      </w:r>
      <w:r>
        <w:rPr>
          <w:rFonts w:hint="eastAsia" w:ascii="仿宋" w:hAnsi="仿宋" w:eastAsia="仿宋" w:cs="仿宋"/>
          <w:sz w:val="30"/>
          <w:szCs w:val="30"/>
          <w:lang w:val="en-US" w:eastAsia="en-US"/>
        </w:rPr>
        <w:t>新增保存提示</w:t>
      </w:r>
      <w:r>
        <w:rPr>
          <w:rFonts w:hint="eastAsia" w:ascii="仿宋" w:hAnsi="仿宋" w:eastAsia="仿宋" w:cs="仿宋"/>
          <w:sz w:val="30"/>
          <w:szCs w:val="30"/>
          <w:lang w:val="en-US" w:eastAsia="zh-CN"/>
        </w:rPr>
        <w:t>需要</w:t>
      </w:r>
      <w:r>
        <w:rPr>
          <w:rFonts w:hint="eastAsia" w:ascii="仿宋" w:hAnsi="仿宋" w:eastAsia="仿宋" w:cs="仿宋"/>
          <w:sz w:val="30"/>
          <w:szCs w:val="30"/>
          <w:lang w:val="en-US" w:eastAsia="en-US"/>
        </w:rPr>
        <w:t>上传照片，</w:t>
      </w:r>
      <w:r>
        <w:rPr>
          <w:rFonts w:hint="eastAsia" w:ascii="仿宋" w:hAnsi="仿宋" w:eastAsia="仿宋" w:cs="仿宋"/>
          <w:sz w:val="30"/>
          <w:szCs w:val="30"/>
          <w:lang w:val="en-US" w:eastAsia="zh-CN"/>
        </w:rPr>
        <w:t>用户可以</w:t>
      </w:r>
      <w:r>
        <w:rPr>
          <w:rFonts w:hint="eastAsia" w:ascii="仿宋" w:hAnsi="仿宋" w:eastAsia="仿宋" w:cs="仿宋"/>
          <w:sz w:val="30"/>
          <w:szCs w:val="30"/>
          <w:lang w:val="en-US" w:eastAsia="en-US"/>
        </w:rPr>
        <w:t>去</w:t>
      </w:r>
      <w:r>
        <w:rPr>
          <w:rFonts w:hint="eastAsia" w:ascii="仿宋" w:hAnsi="仿宋" w:eastAsia="仿宋" w:cs="仿宋"/>
          <w:sz w:val="30"/>
          <w:szCs w:val="30"/>
          <w:lang w:val="en-US" w:eastAsia="zh-CN"/>
        </w:rPr>
        <w:t>【卡片变动】功能下</w:t>
      </w:r>
      <w:r>
        <w:rPr>
          <w:rFonts w:hint="eastAsia" w:ascii="仿宋" w:hAnsi="仿宋" w:eastAsia="仿宋" w:cs="仿宋"/>
          <w:sz w:val="30"/>
          <w:szCs w:val="30"/>
          <w:lang w:val="en-US" w:eastAsia="en-US"/>
        </w:rPr>
        <w:t>做属性变动可上传照片。做属性变动终审后再新增共享资产发布单据。</w:t>
      </w:r>
    </w:p>
    <w:p>
      <w:pPr>
        <w:widowControl w:val="0"/>
        <w:numPr>
          <w:ilvl w:val="0"/>
          <w:numId w:val="0"/>
        </w:numPr>
        <w:jc w:val="both"/>
        <w:rPr>
          <w:rFonts w:hint="default" w:eastAsia="宋体"/>
          <w:sz w:val="24"/>
          <w:szCs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"C:\\Users\\吴应翔\\AppData\\Roaming\\LanxinSoftCustom\\Resource\\Pictures\\524288\\lanxin_20250529103650.png"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297170" cy="3268980"/>
            <wp:effectExtent l="0" t="0" r="17780" b="7620"/>
            <wp:docPr id="102"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7" descr="IMG_256"/>
                    <pic:cNvPicPr>
                      <a:picLocks noChangeAspect="true"/>
                    </pic:cNvPicPr>
                  </pic:nvPicPr>
                  <pic:blipFill>
                    <a:blip r:embed="rId7" r:link="rId8"/>
                    <a:stretch>
                      <a:fillRect/>
                    </a:stretch>
                  </pic:blipFill>
                  <pic:spPr>
                    <a:xfrm>
                      <a:off x="0" y="0"/>
                      <a:ext cx="5297170" cy="3268980"/>
                    </a:xfrm>
                    <a:prstGeom prst="rect">
                      <a:avLst/>
                    </a:prstGeom>
                    <a:noFill/>
                    <a:ln w="9525">
                      <a:noFill/>
                      <a:miter/>
                    </a:ln>
                  </pic:spPr>
                </pic:pic>
              </a:graphicData>
            </a:graphic>
          </wp:inline>
        </w:drawing>
      </w:r>
      <w:r>
        <w:rPr>
          <w:rFonts w:ascii="宋体" w:hAnsi="宋体" w:eastAsia="宋体" w:cs="宋体"/>
          <w:sz w:val="24"/>
          <w:szCs w:val="24"/>
        </w:rPr>
        <w:fldChar w:fldCharType="end"/>
      </w:r>
    </w:p>
    <w:p>
      <w:pPr>
        <w:widowControl w:val="0"/>
        <w:numPr>
          <w:ilvl w:val="0"/>
          <w:numId w:val="0"/>
        </w:numPr>
        <w:jc w:val="both"/>
      </w:pPr>
    </w:p>
    <w:p>
      <w:pPr>
        <w:widowControl w:val="0"/>
        <w:numPr>
          <w:ilvl w:val="0"/>
          <w:numId w:val="0"/>
        </w:num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图1-1-1</w:t>
      </w:r>
    </w:p>
    <w:p>
      <w:pPr>
        <w:jc w:val="both"/>
      </w:pPr>
    </w:p>
    <w:p>
      <w:pPr>
        <w:jc w:val="both"/>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"C:\\Users\\吴应翔\\AppData\\Roaming\\LanxinSoftCustom\\Resource\\Pictures\\524288\\lanxin_20250529093041.png"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253990" cy="3159760"/>
            <wp:effectExtent l="0" t="0" r="3810" b="2540"/>
            <wp:docPr id="87"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2" descr="IMG_256"/>
                    <pic:cNvPicPr>
                      <a:picLocks noChangeAspect="true"/>
                    </pic:cNvPicPr>
                  </pic:nvPicPr>
                  <pic:blipFill>
                    <a:blip r:embed="rId9" r:link="rId10"/>
                    <a:stretch>
                      <a:fillRect/>
                    </a:stretch>
                  </pic:blipFill>
                  <pic:spPr>
                    <a:xfrm>
                      <a:off x="0" y="0"/>
                      <a:ext cx="5253990" cy="3159760"/>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both"/>
      </w:pP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图1-1-2</w:t>
      </w:r>
    </w:p>
    <w:p>
      <w:pPr>
        <w:pageBreakBefore w:val="0"/>
        <w:widowControl w:val="0"/>
        <w:kinsoku/>
        <w:wordWrap/>
        <w:overflowPunct/>
        <w:topLinePunct w:val="0"/>
        <w:autoSpaceDE/>
        <w:autoSpaceDN/>
        <w:bidi w:val="0"/>
        <w:adjustRightInd/>
        <w:snapToGrid/>
        <w:spacing w:line="578"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点击【修改】，进入修改信息界面，如图1-1-3。</w:t>
      </w:r>
    </w:p>
    <w:p>
      <w:pPr>
        <w:jc w:val="center"/>
        <w:rPr>
          <w:rFonts w:hint="eastAsia" w:ascii="宋体" w:hAnsi="宋体" w:eastAsia="宋体" w:cs="宋体"/>
          <w:sz w:val="24"/>
          <w:szCs w:val="24"/>
          <w:lang w:val="en-US" w:eastAsia="zh-CN"/>
        </w:rPr>
      </w:pPr>
      <w:r>
        <w:drawing>
          <wp:inline distT="0" distB="0" distL="114300" distR="114300">
            <wp:extent cx="5271135" cy="4140200"/>
            <wp:effectExtent l="0" t="0" r="5715" b="12700"/>
            <wp:docPr id="2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true"/>
                    </pic:cNvPicPr>
                  </pic:nvPicPr>
                  <pic:blipFill>
                    <a:blip r:embed="rId11"/>
                    <a:stretch>
                      <a:fillRect/>
                    </a:stretch>
                  </pic:blipFill>
                  <pic:spPr>
                    <a:xfrm>
                      <a:off x="0" y="0"/>
                      <a:ext cx="5271135" cy="4140200"/>
                    </a:xfrm>
                    <a:prstGeom prst="rect">
                      <a:avLst/>
                    </a:prstGeom>
                    <a:noFill/>
                    <a:ln>
                      <a:noFill/>
                    </a:ln>
                  </pic:spPr>
                </pic:pic>
              </a:graphicData>
            </a:graphic>
          </wp:inline>
        </w:drawing>
      </w:r>
      <w:r>
        <w:drawing>
          <wp:inline distT="0" distB="0" distL="114300" distR="114300">
            <wp:extent cx="5266055" cy="3874135"/>
            <wp:effectExtent l="0" t="0" r="10795" b="1206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
                    <a:stretch>
                      <a:fillRect/>
                    </a:stretch>
                  </pic:blipFill>
                  <pic:spPr>
                    <a:xfrm>
                      <a:off x="0" y="0"/>
                      <a:ext cx="5266055" cy="3874135"/>
                    </a:xfrm>
                    <a:prstGeom prst="rect">
                      <a:avLst/>
                    </a:prstGeom>
                    <a:noFill/>
                    <a:ln>
                      <a:noFill/>
                    </a:ln>
                  </pic:spPr>
                </pic:pic>
              </a:graphicData>
            </a:graphic>
          </wp:inline>
        </w:drawing>
      </w:r>
      <w:r>
        <w:rPr>
          <w:rFonts w:hint="eastAsia"/>
          <w:lang w:val="en-US" w:eastAsia="zh-CN"/>
        </w:rPr>
        <w:t>图</w:t>
      </w:r>
      <w:r>
        <w:rPr>
          <w:rFonts w:hint="eastAsia" w:ascii="宋体" w:hAnsi="宋体" w:eastAsia="宋体" w:cs="宋体"/>
          <w:sz w:val="24"/>
          <w:szCs w:val="24"/>
          <w:lang w:val="en-US" w:eastAsia="zh-CN"/>
        </w:rPr>
        <w:t>1-1-3</w:t>
      </w:r>
    </w:p>
    <w:p>
      <w:pPr>
        <w:pageBreakBefore w:val="0"/>
        <w:widowControl w:val="0"/>
        <w:kinsoku/>
        <w:wordWrap/>
        <w:overflowPunct/>
        <w:topLinePunct w:val="0"/>
        <w:autoSpaceDE/>
        <w:autoSpaceDN/>
        <w:bidi w:val="0"/>
        <w:adjustRightInd/>
        <w:snapToGrid/>
        <w:spacing w:line="578" w:lineRule="atLeas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点击【删除】，即删除选中的数据,如图1-1-4。</w:t>
      </w:r>
    </w:p>
    <w:p>
      <w:pPr>
        <w:jc w:val="both"/>
      </w:pPr>
      <w:r>
        <w:drawing>
          <wp:inline distT="0" distB="0" distL="114300" distR="114300">
            <wp:extent cx="5270500" cy="3162300"/>
            <wp:effectExtent l="0" t="0" r="6350" b="0"/>
            <wp:docPr id="2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true"/>
                    </pic:cNvPicPr>
                  </pic:nvPicPr>
                  <pic:blipFill>
                    <a:blip r:embed="rId13"/>
                    <a:stretch>
                      <a:fillRect/>
                    </a:stretch>
                  </pic:blipFill>
                  <pic:spPr>
                    <a:xfrm>
                      <a:off x="0" y="0"/>
                      <a:ext cx="5270500" cy="316230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图1-1-4</w:t>
      </w:r>
    </w:p>
    <w:p>
      <w:pPr>
        <w:jc w:val="center"/>
        <w:rPr>
          <w:rFonts w:hint="eastAsia" w:ascii="宋体" w:hAnsi="宋体" w:eastAsia="宋体" w:cs="宋体"/>
          <w:sz w:val="24"/>
          <w:szCs w:val="24"/>
          <w:lang w:val="en-US" w:eastAsia="zh-CN"/>
        </w:rPr>
      </w:pPr>
    </w:p>
    <w:p>
      <w:pPr>
        <w:spacing w:line="578" w:lineRule="atLeast"/>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点击【送审】，将选择的共享资产单据进行送审如图1-1-5，送审的单据显示在【已审核】界面，如下个节点未审核，可取消送审，如图1-1-6。</w:t>
      </w:r>
    </w:p>
    <w:p>
      <w:pPr>
        <w:jc w:val="both"/>
      </w:pPr>
      <w:r>
        <w:drawing>
          <wp:inline distT="0" distB="0" distL="114300" distR="114300">
            <wp:extent cx="5269230" cy="3713480"/>
            <wp:effectExtent l="0" t="0" r="7620" b="1270"/>
            <wp:docPr id="3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true"/>
                    </pic:cNvPicPr>
                  </pic:nvPicPr>
                  <pic:blipFill>
                    <a:blip r:embed="rId14"/>
                    <a:stretch>
                      <a:fillRect/>
                    </a:stretch>
                  </pic:blipFill>
                  <pic:spPr>
                    <a:xfrm>
                      <a:off x="0" y="0"/>
                      <a:ext cx="5269230" cy="371348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图1-1-5</w:t>
      </w:r>
    </w:p>
    <w:p>
      <w:pPr>
        <w:jc w:val="center"/>
        <w:rPr>
          <w:rFonts w:hint="eastAsia" w:ascii="宋体" w:hAnsi="宋体" w:eastAsia="宋体" w:cs="宋体"/>
          <w:sz w:val="24"/>
          <w:szCs w:val="24"/>
          <w:lang w:val="en-US" w:eastAsia="zh-CN"/>
        </w:rPr>
      </w:pPr>
    </w:p>
    <w:p>
      <w:pPr>
        <w:jc w:val="center"/>
      </w:pPr>
      <w:r>
        <w:drawing>
          <wp:inline distT="0" distB="0" distL="114300" distR="114300">
            <wp:extent cx="5266690" cy="3409950"/>
            <wp:effectExtent l="0" t="0" r="10160" b="0"/>
            <wp:docPr id="3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true"/>
                    </pic:cNvPicPr>
                  </pic:nvPicPr>
                  <pic:blipFill>
                    <a:blip r:embed="rId15"/>
                    <a:stretch>
                      <a:fillRect/>
                    </a:stretch>
                  </pic:blipFill>
                  <pic:spPr>
                    <a:xfrm>
                      <a:off x="0" y="0"/>
                      <a:ext cx="5266690" cy="3409950"/>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lang w:val="en-US" w:eastAsia="zh-CN"/>
        </w:rPr>
        <w:t>图1-1-6</w:t>
      </w:r>
    </w:p>
    <w:p>
      <w:pPr>
        <w:jc w:val="center"/>
        <w:rPr>
          <w:rFonts w:hint="eastAsia"/>
          <w:lang w:val="en-US" w:eastAsia="zh-CN"/>
        </w:rPr>
      </w:pPr>
    </w:p>
    <w:p>
      <w:pPr>
        <w:ind w:firstLine="600" w:firstLineChars="200"/>
        <w:jc w:val="both"/>
        <w:rPr>
          <w:rFonts w:hint="default" w:ascii="宋体" w:hAnsi="宋体" w:eastAsia="宋体" w:cs="宋体"/>
          <w:sz w:val="24"/>
          <w:szCs w:val="24"/>
          <w:lang w:val="en-US" w:eastAsia="zh-CN"/>
        </w:rPr>
      </w:pPr>
      <w:r>
        <w:rPr>
          <w:rFonts w:hint="eastAsia" w:ascii="仿宋" w:hAnsi="仿宋" w:eastAsia="仿宋" w:cs="仿宋"/>
          <w:sz w:val="30"/>
          <w:szCs w:val="30"/>
          <w:lang w:val="en-US" w:eastAsia="zh-CN"/>
        </w:rPr>
        <w:t>点击【查看详情】可查看共享资产卡片信息，如图1-1-7。</w:t>
      </w:r>
    </w:p>
    <w:p>
      <w:pPr>
        <w:jc w:val="both"/>
      </w:pPr>
      <w:r>
        <w:drawing>
          <wp:inline distT="0" distB="0" distL="114300" distR="114300">
            <wp:extent cx="5266690" cy="3441700"/>
            <wp:effectExtent l="0" t="0" r="10160" b="6350"/>
            <wp:docPr id="3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true"/>
                    </pic:cNvPicPr>
                  </pic:nvPicPr>
                  <pic:blipFill>
                    <a:blip r:embed="rId16"/>
                    <a:stretch>
                      <a:fillRect/>
                    </a:stretch>
                  </pic:blipFill>
                  <pic:spPr>
                    <a:xfrm>
                      <a:off x="0" y="0"/>
                      <a:ext cx="5266690" cy="3441700"/>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lang w:val="en-US" w:eastAsia="zh-CN"/>
        </w:rPr>
        <w:t>图1-1-7</w:t>
      </w:r>
    </w:p>
    <w:p>
      <w:pPr>
        <w:jc w:val="center"/>
        <w:rPr>
          <w:rFonts w:hint="eastAsia" w:ascii="宋体" w:hAnsi="宋体" w:eastAsia="宋体" w:cs="宋体"/>
          <w:sz w:val="24"/>
          <w:szCs w:val="24"/>
          <w:lang w:val="en-US" w:eastAsia="zh-CN"/>
        </w:rPr>
      </w:pPr>
    </w:p>
    <w:p>
      <w:pPr>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点击【审核情况】，查看审核情况，可看出流程走到哪个节点，如图1-1-8。</w:t>
      </w:r>
    </w:p>
    <w:p>
      <w:pPr>
        <w:jc w:val="both"/>
      </w:pPr>
      <w:r>
        <w:drawing>
          <wp:inline distT="0" distB="0" distL="114300" distR="114300">
            <wp:extent cx="5265420" cy="3509645"/>
            <wp:effectExtent l="0" t="0" r="11430" b="14605"/>
            <wp:docPr id="4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true"/>
                    </pic:cNvPicPr>
                  </pic:nvPicPr>
                  <pic:blipFill>
                    <a:blip r:embed="rId17"/>
                    <a:stretch>
                      <a:fillRect/>
                    </a:stretch>
                  </pic:blipFill>
                  <pic:spPr>
                    <a:xfrm>
                      <a:off x="0" y="0"/>
                      <a:ext cx="5265420" cy="3509645"/>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图1-1-8</w:t>
      </w:r>
    </w:p>
    <w:p>
      <w:pPr>
        <w:jc w:val="both"/>
        <w:rPr>
          <w:rFonts w:hint="eastAsia" w:ascii="宋体" w:hAnsi="宋体" w:eastAsia="宋体" w:cs="宋体"/>
          <w:sz w:val="24"/>
          <w:szCs w:val="24"/>
          <w:lang w:val="en-US" w:eastAsia="zh-CN"/>
        </w:rPr>
      </w:pP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28" w:name="_Toc692"/>
      <w:bookmarkStart w:id="29" w:name="_Toc22577_WPSOffice_Level3"/>
      <w:bookmarkStart w:id="30" w:name="_Toc15381"/>
      <w:bookmarkStart w:id="31" w:name="_Toc26067"/>
      <w:r>
        <w:rPr>
          <w:rFonts w:hint="eastAsia" w:ascii="仿宋" w:hAnsi="仿宋" w:eastAsia="仿宋" w:cs="仿宋"/>
          <w:b/>
          <w:bCs/>
          <w:sz w:val="30"/>
          <w:szCs w:val="30"/>
          <w:lang w:val="en-US" w:eastAsia="zh-CN"/>
        </w:rPr>
        <w:t>2.共享资产审核</w:t>
      </w:r>
      <w:bookmarkEnd w:id="28"/>
      <w:bookmarkEnd w:id="29"/>
      <w:bookmarkEnd w:id="30"/>
      <w:bookmarkEnd w:id="31"/>
    </w:p>
    <w:p>
      <w:pPr>
        <w:spacing w:line="240" w:lineRule="auto"/>
        <w:ind w:firstLine="480" w:firstLineChars="200"/>
        <w:jc w:val="both"/>
        <w:rPr>
          <w:rFonts w:hint="eastAsia" w:ascii="仿宋" w:hAnsi="仿宋" w:eastAsia="仿宋" w:cs="仿宋"/>
          <w:sz w:val="30"/>
          <w:szCs w:val="30"/>
          <w:lang w:val="en-US" w:eastAsia="zh-CN"/>
        </w:rPr>
      </w:pPr>
      <w:r>
        <w:rPr>
          <w:rFonts w:hint="eastAsia" w:ascii="宋体" w:hAnsi="宋体" w:eastAsia="宋体" w:cs="宋体"/>
          <w:sz w:val="24"/>
          <w:szCs w:val="24"/>
          <w:lang w:val="en-US" w:eastAsia="zh-CN"/>
        </w:rPr>
        <w:t xml:space="preserve"> </w:t>
      </w:r>
      <w:r>
        <w:rPr>
          <w:rFonts w:hint="eastAsia" w:ascii="仿宋" w:hAnsi="仿宋" w:eastAsia="仿宋" w:cs="仿宋"/>
          <w:sz w:val="30"/>
          <w:szCs w:val="30"/>
          <w:lang w:val="en-US" w:eastAsia="zh-CN"/>
        </w:rPr>
        <w:t>共享资产审核存在共享资产发布界面送审过来的单据，送审的数据并没有发布出去，还需要经过审核。</w:t>
      </w:r>
    </w:p>
    <w:p>
      <w:pPr>
        <w:spacing w:line="240" w:lineRule="auto"/>
        <w:ind w:firstLine="0" w:firstLineChars="0"/>
        <w:jc w:val="both"/>
        <w:rPr>
          <w:rFonts w:hint="default" w:ascii="宋体" w:hAnsi="宋体" w:eastAsia="宋体" w:cs="宋体"/>
          <w:sz w:val="24"/>
          <w:szCs w:val="24"/>
          <w:lang w:val="en-US" w:eastAsia="zh-CN"/>
        </w:rPr>
      </w:pPr>
      <w:r>
        <w:rPr>
          <w:rFonts w:hint="eastAsia" w:ascii="仿宋" w:hAnsi="仿宋" w:eastAsia="仿宋" w:cs="仿宋"/>
          <w:sz w:val="30"/>
          <w:szCs w:val="30"/>
          <w:lang w:val="en-US" w:eastAsia="zh-CN"/>
        </w:rPr>
        <w:t xml:space="preserve">    具体操作：登录系统，进入【资产调剂共享】--&gt;【共享资产】--&gt;【共享资产审核】页面，待审核界面看到共享资产发布送审过来的单据，如图1-1-9。</w:t>
      </w:r>
    </w:p>
    <w:p>
      <w:pPr>
        <w:jc w:val="both"/>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"C:\\Users\\吴应翔\\AppData\\Roaming\\LanxinSoftCustom\\Resource\\Pictures\\524288\\lanxin_20250529102131.png"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246370" cy="3457575"/>
            <wp:effectExtent l="0" t="0" r="11430" b="9525"/>
            <wp:docPr id="89"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3" descr="IMG_256"/>
                    <pic:cNvPicPr>
                      <a:picLocks noChangeAspect="true"/>
                    </pic:cNvPicPr>
                  </pic:nvPicPr>
                  <pic:blipFill>
                    <a:blip r:embed="rId18" r:link="rId19"/>
                    <a:stretch>
                      <a:fillRect/>
                    </a:stretch>
                  </pic:blipFill>
                  <pic:spPr>
                    <a:xfrm>
                      <a:off x="0" y="0"/>
                      <a:ext cx="5246370" cy="3457575"/>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center"/>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图</w:t>
      </w:r>
      <w:r>
        <w:rPr>
          <w:rFonts w:hint="eastAsia" w:ascii="宋体" w:hAnsi="宋体" w:eastAsia="宋体" w:cs="宋体"/>
          <w:kern w:val="2"/>
          <w:sz w:val="24"/>
          <w:szCs w:val="24"/>
          <w:lang w:val="en-US" w:eastAsia="zh-CN" w:bidi="ar-SA"/>
        </w:rPr>
        <w:t>1-1-9</w:t>
      </w:r>
    </w:p>
    <w:p>
      <w:pPr>
        <w:pStyle w:val="2"/>
        <w:rPr>
          <w:rFonts w:hint="eastAsia"/>
          <w:lang w:val="en-US" w:eastAsia="zh-CN"/>
        </w:rPr>
      </w:pPr>
    </w:p>
    <w:p>
      <w:pPr>
        <w:ind w:firstLine="600" w:firstLineChars="200"/>
        <w:jc w:val="both"/>
        <w:rPr>
          <w:rFonts w:hint="eastAsia" w:ascii="仿宋" w:hAnsi="仿宋" w:eastAsia="仿宋" w:cs="仿宋"/>
          <w:kern w:val="2"/>
          <w:sz w:val="30"/>
          <w:szCs w:val="30"/>
          <w:lang w:val="en-US" w:eastAsia="zh-CN" w:bidi="ar-SA"/>
        </w:rPr>
      </w:pPr>
      <w:r>
        <w:rPr>
          <w:rFonts w:hint="eastAsia" w:ascii="仿宋" w:hAnsi="仿宋" w:eastAsia="仿宋" w:cs="仿宋"/>
          <w:sz w:val="30"/>
          <w:szCs w:val="30"/>
          <w:lang w:val="en-US" w:eastAsia="zh-CN"/>
        </w:rPr>
        <w:t>选择一条数据点击【审核】，对已送审的共享资产单据进行审核如图1-1-10。</w:t>
      </w:r>
    </w:p>
    <w:p>
      <w:pPr>
        <w:jc w:val="both"/>
      </w:pPr>
      <w:r>
        <w:drawing>
          <wp:inline distT="0" distB="0" distL="114300" distR="114300">
            <wp:extent cx="5264785" cy="3218815"/>
            <wp:effectExtent l="0" t="0" r="12065" b="635"/>
            <wp:docPr id="5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true"/>
                    </pic:cNvPicPr>
                  </pic:nvPicPr>
                  <pic:blipFill>
                    <a:blip r:embed="rId20"/>
                    <a:stretch>
                      <a:fillRect/>
                    </a:stretch>
                  </pic:blipFill>
                  <pic:spPr>
                    <a:xfrm>
                      <a:off x="0" y="0"/>
                      <a:ext cx="5264785" cy="3218815"/>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图1-1-10</w:t>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spacing w:line="360" w:lineRule="auto"/>
        <w:ind w:firstLine="600" w:firstLineChars="200"/>
        <w:jc w:val="both"/>
        <w:rPr>
          <w:rFonts w:hint="default" w:ascii="宋体" w:hAnsi="宋体" w:eastAsia="宋体" w:cs="宋体"/>
          <w:sz w:val="24"/>
          <w:szCs w:val="24"/>
          <w:lang w:val="en-US" w:eastAsia="zh-CN"/>
        </w:rPr>
      </w:pPr>
      <w:r>
        <w:rPr>
          <w:rFonts w:hint="eastAsia" w:ascii="仿宋" w:hAnsi="仿宋" w:eastAsia="仿宋" w:cs="仿宋"/>
          <w:sz w:val="30"/>
          <w:szCs w:val="30"/>
          <w:lang w:val="en-US" w:eastAsia="zh-CN"/>
        </w:rPr>
        <w:t>审核共享资产单据进入已审核界面，【取消审核】，对已审核的共享资产单据进行取消审核，取消成功，数据流转到“待审核”页面，状态为“XXX审核取消审核”如图1-1-11。</w:t>
      </w:r>
    </w:p>
    <w:p>
      <w:pPr>
        <w:jc w:val="both"/>
      </w:pPr>
      <w:r>
        <w:drawing>
          <wp:inline distT="0" distB="0" distL="114300" distR="114300">
            <wp:extent cx="5270500" cy="3089275"/>
            <wp:effectExtent l="0" t="0" r="6350" b="15875"/>
            <wp:docPr id="7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true"/>
                    </pic:cNvPicPr>
                  </pic:nvPicPr>
                  <pic:blipFill>
                    <a:blip r:embed="rId21"/>
                    <a:stretch>
                      <a:fillRect/>
                    </a:stretch>
                  </pic:blipFill>
                  <pic:spPr>
                    <a:xfrm>
                      <a:off x="0" y="0"/>
                      <a:ext cx="5270500" cy="3089275"/>
                    </a:xfrm>
                    <a:prstGeom prst="rect">
                      <a:avLst/>
                    </a:prstGeom>
                    <a:noFill/>
                    <a:ln>
                      <a:noFill/>
                    </a:ln>
                  </pic:spPr>
                </pic:pic>
              </a:graphicData>
            </a:graphic>
          </wp:inline>
        </w:drawing>
      </w:r>
    </w:p>
    <w:p>
      <w:pPr>
        <w:jc w:val="center"/>
        <w:outlineLvl w:val="9"/>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图1-1-11</w:t>
      </w:r>
    </w:p>
    <w:p>
      <w:pPr>
        <w:jc w:val="center"/>
        <w:rPr>
          <w:rFonts w:hint="eastAsia" w:ascii="宋体" w:hAnsi="宋体" w:eastAsia="宋体" w:cs="宋体"/>
          <w:sz w:val="24"/>
          <w:szCs w:val="24"/>
          <w:lang w:val="en-US" w:eastAsia="zh-CN"/>
        </w:rPr>
      </w:pPr>
    </w:p>
    <w:p>
      <w:pPr>
        <w:pageBreakBefore w:val="0"/>
        <w:widowControl w:val="0"/>
        <w:numPr>
          <w:ilvl w:val="0"/>
          <w:numId w:val="0"/>
        </w:numPr>
        <w:kinsoku/>
        <w:wordWrap/>
        <w:overflowPunct/>
        <w:topLinePunct w:val="0"/>
        <w:autoSpaceDE/>
        <w:autoSpaceDN/>
        <w:bidi w:val="0"/>
        <w:adjustRightInd/>
        <w:snapToGrid/>
        <w:spacing w:line="578" w:lineRule="atLeast"/>
        <w:ind w:left="840" w:leftChars="0"/>
        <w:jc w:val="left"/>
        <w:textAlignment w:val="auto"/>
        <w:rPr>
          <w:rFonts w:hint="eastAsia" w:ascii="宋体" w:hAnsi="宋体" w:eastAsia="宋体" w:cs="宋体"/>
          <w:sz w:val="24"/>
          <w:szCs w:val="24"/>
          <w:lang w:val="en-US" w:eastAsia="zh-CN"/>
        </w:rPr>
      </w:pPr>
      <w:r>
        <w:rPr>
          <w:rFonts w:hint="eastAsia" w:ascii="仿宋" w:hAnsi="仿宋" w:eastAsia="仿宋" w:cs="仿宋"/>
          <w:color w:val="FF0000"/>
          <w:sz w:val="32"/>
          <w:szCs w:val="32"/>
          <w:highlight w:val="none"/>
          <w:lang w:val="en-US" w:eastAsia="zh-CN"/>
        </w:rPr>
        <w:t>注：</w:t>
      </w:r>
    </w:p>
    <w:p>
      <w:pPr>
        <w:pageBreakBefore w:val="0"/>
        <w:widowControl w:val="0"/>
        <w:numPr>
          <w:ilvl w:val="0"/>
          <w:numId w:val="1"/>
        </w:numPr>
        <w:kinsoku/>
        <w:wordWrap/>
        <w:overflowPunct/>
        <w:topLinePunct w:val="0"/>
        <w:autoSpaceDE/>
        <w:autoSpaceDN/>
        <w:bidi w:val="0"/>
        <w:adjustRightInd/>
        <w:snapToGrid/>
        <w:spacing w:line="578" w:lineRule="atLeast"/>
        <w:ind w:left="830" w:leftChars="0" w:firstLine="640" w:firstLineChars="0"/>
        <w:jc w:val="left"/>
        <w:textAlignment w:val="auto"/>
        <w:rPr>
          <w:rFonts w:hint="eastAsia"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本地审核未终审的，都属于03-省内审核中；</w:t>
      </w:r>
    </w:p>
    <w:p>
      <w:pPr>
        <w:pageBreakBefore w:val="0"/>
        <w:widowControl w:val="0"/>
        <w:numPr>
          <w:ilvl w:val="0"/>
          <w:numId w:val="1"/>
        </w:numPr>
        <w:kinsoku/>
        <w:wordWrap/>
        <w:overflowPunct/>
        <w:topLinePunct w:val="0"/>
        <w:autoSpaceDE/>
        <w:autoSpaceDN/>
        <w:bidi w:val="0"/>
        <w:adjustRightInd/>
        <w:snapToGrid/>
        <w:spacing w:line="578" w:lineRule="atLeast"/>
        <w:ind w:left="830" w:leftChars="0" w:firstLine="640" w:firstLineChars="0"/>
        <w:jc w:val="left"/>
        <w:textAlignment w:val="auto"/>
        <w:rPr>
          <w:rFonts w:hint="eastAsia"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本地终审审核通过的，通过汇总系统进行数据上报，审核状态变更为“01-待财政部审核”，“财政部已审核”通过汇总系统下发后，审核状态变更为“02-财政部已审核”。</w:t>
      </w:r>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本地终审后，未上报汇总系统的则可以取消终审，如已上报汇总系统，则不能取消终审如图1-1-12，可去共享资产管理界面做下架处理。</w:t>
      </w:r>
    </w:p>
    <w:p>
      <w:pPr>
        <w:jc w:val="both"/>
      </w:pPr>
      <w:r>
        <w:drawing>
          <wp:inline distT="0" distB="0" distL="114300" distR="114300">
            <wp:extent cx="5270500" cy="3493135"/>
            <wp:effectExtent l="0" t="0" r="6350" b="12065"/>
            <wp:docPr id="8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true"/>
                    </pic:cNvPicPr>
                  </pic:nvPicPr>
                  <pic:blipFill>
                    <a:blip r:embed="rId22"/>
                    <a:stretch>
                      <a:fillRect/>
                    </a:stretch>
                  </pic:blipFill>
                  <pic:spPr>
                    <a:xfrm>
                      <a:off x="0" y="0"/>
                      <a:ext cx="5270500" cy="3493135"/>
                    </a:xfrm>
                    <a:prstGeom prst="rect">
                      <a:avLst/>
                    </a:prstGeom>
                    <a:noFill/>
                    <a:ln>
                      <a:noFill/>
                    </a:ln>
                  </pic:spPr>
                </pic:pic>
              </a:graphicData>
            </a:graphic>
          </wp:inline>
        </w:drawing>
      </w:r>
    </w:p>
    <w:p>
      <w:pPr>
        <w:jc w:val="center"/>
        <w:outlineLvl w:val="9"/>
        <w:rPr>
          <w:rFonts w:hint="default"/>
          <w:color w:val="FF0000"/>
          <w:lang w:val="en-US" w:eastAsia="zh-CN"/>
        </w:rPr>
      </w:pPr>
      <w:r>
        <w:rPr>
          <w:rFonts w:hint="eastAsia" w:ascii="宋体" w:hAnsi="宋体" w:eastAsia="宋体" w:cs="宋体"/>
          <w:sz w:val="24"/>
          <w:szCs w:val="24"/>
          <w:lang w:val="en-US" w:eastAsia="zh-CN"/>
        </w:rPr>
        <w:t>图1-1-12</w:t>
      </w: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32" w:name="_Toc25384_WPSOffice_Level3"/>
      <w:bookmarkStart w:id="33" w:name="_Toc5556"/>
      <w:bookmarkStart w:id="34" w:name="_Toc4341"/>
      <w:bookmarkStart w:id="35" w:name="_Toc8530"/>
      <w:r>
        <w:rPr>
          <w:rFonts w:hint="eastAsia" w:ascii="仿宋" w:hAnsi="仿宋" w:eastAsia="仿宋" w:cs="仿宋"/>
          <w:b/>
          <w:bCs/>
          <w:sz w:val="30"/>
          <w:szCs w:val="30"/>
          <w:lang w:val="en-US" w:eastAsia="zh-CN"/>
        </w:rPr>
        <w:t>3.共享资产管理</w:t>
      </w:r>
      <w:bookmarkEnd w:id="32"/>
      <w:bookmarkEnd w:id="33"/>
      <w:bookmarkEnd w:id="34"/>
      <w:bookmarkEnd w:id="35"/>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显示共享资产发布终审的数据即共享状态是上架，同时共享广场也显示。</w:t>
      </w:r>
      <w:r>
        <w:rPr>
          <w:rFonts w:hint="eastAsia" w:ascii="仿宋" w:hAnsi="仿宋" w:eastAsia="仿宋" w:cs="仿宋"/>
          <w:sz w:val="30"/>
          <w:szCs w:val="30"/>
          <w:lang w:val="zh-CN" w:eastAsia="zh-CN"/>
        </w:rPr>
        <w:t>具体操作：登录系统，进入【资产调剂共享】--&gt;【</w:t>
      </w:r>
      <w:r>
        <w:rPr>
          <w:rFonts w:hint="eastAsia" w:ascii="仿宋" w:hAnsi="仿宋" w:eastAsia="仿宋" w:cs="仿宋"/>
          <w:sz w:val="30"/>
          <w:szCs w:val="30"/>
          <w:lang w:val="en-US" w:eastAsia="zh-CN"/>
        </w:rPr>
        <w:t>共享资产</w:t>
      </w:r>
      <w:r>
        <w:rPr>
          <w:rFonts w:hint="eastAsia" w:ascii="仿宋" w:hAnsi="仿宋" w:eastAsia="仿宋" w:cs="仿宋"/>
          <w:sz w:val="30"/>
          <w:szCs w:val="30"/>
          <w:lang w:val="zh-CN" w:eastAsia="zh-CN"/>
        </w:rPr>
        <w:t>】--&gt;【</w:t>
      </w:r>
      <w:r>
        <w:rPr>
          <w:rFonts w:hint="eastAsia" w:ascii="仿宋" w:hAnsi="仿宋" w:eastAsia="仿宋" w:cs="仿宋"/>
          <w:sz w:val="30"/>
          <w:szCs w:val="30"/>
          <w:lang w:val="en-US" w:eastAsia="zh-CN"/>
        </w:rPr>
        <w:t>共享资产管理</w:t>
      </w:r>
      <w:r>
        <w:rPr>
          <w:rFonts w:hint="eastAsia" w:ascii="仿宋" w:hAnsi="仿宋" w:eastAsia="仿宋" w:cs="仿宋"/>
          <w:sz w:val="30"/>
          <w:szCs w:val="30"/>
          <w:lang w:val="zh-CN" w:eastAsia="zh-CN"/>
        </w:rPr>
        <w:t>】页面，</w:t>
      </w:r>
      <w:r>
        <w:rPr>
          <w:rFonts w:hint="eastAsia" w:ascii="仿宋" w:hAnsi="仿宋" w:eastAsia="仿宋" w:cs="仿宋"/>
          <w:sz w:val="30"/>
          <w:szCs w:val="30"/>
          <w:lang w:val="en-US" w:eastAsia="zh-CN"/>
        </w:rPr>
        <w:t>如图1-1-13。</w:t>
      </w:r>
    </w:p>
    <w:p>
      <w:pPr>
        <w:ind w:firstLine="0" w:firstLineChars="0"/>
        <w:jc w:val="both"/>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"C:\\Users\\吴应翔\\AppData\\Roaming\\LanxinSoftCustom\\Resource\\Pictures\\524288\\lanxin_20250529102335.png"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364480" cy="3125470"/>
            <wp:effectExtent l="0" t="0" r="7620" b="17780"/>
            <wp:docPr id="94"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4" descr="IMG_256"/>
                    <pic:cNvPicPr>
                      <a:picLocks noChangeAspect="true"/>
                    </pic:cNvPicPr>
                  </pic:nvPicPr>
                  <pic:blipFill>
                    <a:blip r:embed="rId23" r:link="rId24"/>
                    <a:stretch>
                      <a:fillRect/>
                    </a:stretch>
                  </pic:blipFill>
                  <pic:spPr>
                    <a:xfrm>
                      <a:off x="0" y="0"/>
                      <a:ext cx="5364480" cy="3125470"/>
                    </a:xfrm>
                    <a:prstGeom prst="rect">
                      <a:avLst/>
                    </a:prstGeom>
                    <a:noFill/>
                    <a:ln w="9525">
                      <a:noFill/>
                      <a:miter/>
                    </a:ln>
                  </pic:spPr>
                </pic:pic>
              </a:graphicData>
            </a:graphic>
          </wp:inline>
        </w:drawing>
      </w:r>
      <w:r>
        <w:rPr>
          <w:rFonts w:ascii="宋体" w:hAnsi="宋体" w:eastAsia="宋体" w:cs="宋体"/>
          <w:sz w:val="24"/>
          <w:szCs w:val="24"/>
        </w:rPr>
        <w:fldChar w:fldCharType="end"/>
      </w:r>
    </w:p>
    <w:p>
      <w:pPr>
        <w:ind w:firstLine="480" w:firstLineChars="200"/>
        <w:jc w:val="center"/>
        <w:outlineLvl w:val="9"/>
        <w:rPr>
          <w:rFonts w:hint="default"/>
          <w:sz w:val="24"/>
          <w:szCs w:val="24"/>
          <w:lang w:val="en-US" w:eastAsia="zh-CN"/>
        </w:rPr>
      </w:pPr>
      <w:r>
        <w:rPr>
          <w:rFonts w:hint="eastAsia" w:ascii="宋体" w:hAnsi="宋体" w:eastAsia="宋体" w:cs="宋体"/>
          <w:sz w:val="24"/>
          <w:szCs w:val="24"/>
          <w:lang w:val="en-US" w:eastAsia="zh-CN"/>
        </w:rPr>
        <w:t>图1-1-13</w:t>
      </w:r>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点击【下架】，即共享资产发布后本单位因某种原因不共享了，即可选择数据点击下架。如图1-1-14。</w:t>
      </w:r>
    </w:p>
    <w:p>
      <w:pPr>
        <w:jc w:val="both"/>
      </w:pPr>
      <w:r>
        <w:drawing>
          <wp:inline distT="0" distB="0" distL="114300" distR="114300">
            <wp:extent cx="5273675" cy="3039110"/>
            <wp:effectExtent l="0" t="0" r="3175" b="8890"/>
            <wp:docPr id="8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true"/>
                    </pic:cNvPicPr>
                  </pic:nvPicPr>
                  <pic:blipFill>
                    <a:blip r:embed="rId25"/>
                    <a:stretch>
                      <a:fillRect/>
                    </a:stretch>
                  </pic:blipFill>
                  <pic:spPr>
                    <a:xfrm>
                      <a:off x="0" y="0"/>
                      <a:ext cx="5273675" cy="3039110"/>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lang w:val="en-US" w:eastAsia="zh-CN"/>
        </w:rPr>
        <w:t>图1-1-14</w:t>
      </w:r>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点击【登记共享结果】，共享资产发布后，其他单位享用之后，发布共享单位需要手动登记接收单位信息。如图1-1-15。</w:t>
      </w:r>
    </w:p>
    <w:p>
      <w:pPr>
        <w:jc w:val="center"/>
        <w:rPr>
          <w:rFonts w:hint="default"/>
          <w:lang w:val="en-US" w:eastAsia="zh-CN"/>
        </w:rPr>
      </w:pPr>
      <w:r>
        <w:drawing>
          <wp:inline distT="0" distB="0" distL="114300" distR="114300">
            <wp:extent cx="5271135" cy="3376295"/>
            <wp:effectExtent l="0" t="0" r="5715" b="14605"/>
            <wp:docPr id="8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14"/>
                    <pic:cNvPicPr>
                      <a:picLocks noChangeAspect="true"/>
                    </pic:cNvPicPr>
                  </pic:nvPicPr>
                  <pic:blipFill>
                    <a:blip r:embed="rId26"/>
                    <a:stretch>
                      <a:fillRect/>
                    </a:stretch>
                  </pic:blipFill>
                  <pic:spPr>
                    <a:xfrm>
                      <a:off x="0" y="0"/>
                      <a:ext cx="5271135" cy="3376295"/>
                    </a:xfrm>
                    <a:prstGeom prst="rect">
                      <a:avLst/>
                    </a:prstGeom>
                    <a:noFill/>
                    <a:ln>
                      <a:noFill/>
                    </a:ln>
                  </pic:spPr>
                </pic:pic>
              </a:graphicData>
            </a:graphic>
          </wp:inline>
        </w:drawing>
      </w:r>
      <w:r>
        <w:rPr>
          <w:rFonts w:hint="eastAsia" w:ascii="宋体" w:hAnsi="宋体" w:eastAsia="宋体" w:cs="宋体"/>
          <w:sz w:val="24"/>
          <w:szCs w:val="24"/>
          <w:lang w:val="en-US" w:eastAsia="zh-CN"/>
        </w:rPr>
        <w:t>图1-1-15</w:t>
      </w: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36" w:name="_Toc12301"/>
      <w:bookmarkStart w:id="37" w:name="_Toc16358"/>
      <w:bookmarkStart w:id="38" w:name="_Toc14907"/>
      <w:bookmarkStart w:id="39" w:name="_Toc30105_WPSOffice_Level3"/>
      <w:r>
        <w:rPr>
          <w:rFonts w:hint="eastAsia" w:ascii="仿宋" w:hAnsi="仿宋" w:eastAsia="仿宋" w:cs="仿宋"/>
          <w:b/>
          <w:bCs/>
          <w:sz w:val="30"/>
          <w:szCs w:val="30"/>
          <w:lang w:val="en-US" w:eastAsia="zh-CN"/>
        </w:rPr>
        <w:t>4.共享资产查询</w:t>
      </w:r>
      <w:bookmarkEnd w:id="36"/>
      <w:bookmarkEnd w:id="37"/>
      <w:bookmarkEnd w:id="38"/>
      <w:bookmarkEnd w:id="39"/>
    </w:p>
    <w:p>
      <w:pPr>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可查询发布的共享资产信息如图1-1-16。</w:t>
      </w:r>
    </w:p>
    <w:p>
      <w:pPr>
        <w:jc w:val="both"/>
      </w:pPr>
      <w:r>
        <w:drawing>
          <wp:inline distT="0" distB="0" distL="114300" distR="114300">
            <wp:extent cx="4676775" cy="4363720"/>
            <wp:effectExtent l="0" t="0" r="9525" b="17780"/>
            <wp:docPr id="88"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15"/>
                    <pic:cNvPicPr>
                      <a:picLocks noChangeAspect="true"/>
                    </pic:cNvPicPr>
                  </pic:nvPicPr>
                  <pic:blipFill>
                    <a:blip r:embed="rId27"/>
                    <a:stretch>
                      <a:fillRect/>
                    </a:stretch>
                  </pic:blipFill>
                  <pic:spPr>
                    <a:xfrm>
                      <a:off x="0" y="0"/>
                      <a:ext cx="4676775" cy="436372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图1-1-16</w:t>
      </w:r>
    </w:p>
    <w:p>
      <w:pPr>
        <w:jc w:val="center"/>
        <w:rPr>
          <w:rFonts w:hint="eastAsia" w:ascii="宋体" w:hAnsi="宋体" w:eastAsia="宋体" w:cs="宋体"/>
          <w:sz w:val="24"/>
          <w:szCs w:val="24"/>
          <w:lang w:val="en-US" w:eastAsia="zh-CN"/>
        </w:rPr>
      </w:pP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40" w:name="_Toc8191"/>
      <w:bookmarkStart w:id="41" w:name="_Toc5579"/>
      <w:bookmarkStart w:id="42" w:name="_Toc374_WPSOffice_Level3"/>
      <w:bookmarkStart w:id="43" w:name="_Toc19874"/>
      <w:r>
        <w:rPr>
          <w:rFonts w:hint="eastAsia" w:ascii="仿宋" w:hAnsi="仿宋" w:eastAsia="仿宋" w:cs="仿宋"/>
          <w:b/>
          <w:bCs/>
          <w:sz w:val="30"/>
          <w:szCs w:val="30"/>
          <w:lang w:val="en-US" w:eastAsia="zh-CN"/>
        </w:rPr>
        <w:t>5.共享广场</w:t>
      </w:r>
      <w:bookmarkEnd w:id="40"/>
      <w:bookmarkEnd w:id="41"/>
      <w:bookmarkEnd w:id="42"/>
      <w:bookmarkEnd w:id="43"/>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结合单位业务需要，可在共享广场 查找办公用房、大型科研仪器设备等符合本单位使用需求的资产，通过线下沟通达成一致意见，按照资产使用办法办理 共享事项。</w:t>
      </w:r>
    </w:p>
    <w:p>
      <w:pPr>
        <w:spacing w:line="240" w:lineRule="auto"/>
        <w:ind w:firstLine="600" w:firstLineChars="200"/>
        <w:jc w:val="both"/>
        <w:rPr>
          <w:rFonts w:hint="default" w:ascii="宋体" w:hAnsi="宋体" w:eastAsia="宋体" w:cs="宋体"/>
          <w:sz w:val="24"/>
          <w:szCs w:val="24"/>
          <w:lang w:val="en-US" w:eastAsia="zh-CN"/>
        </w:rPr>
      </w:pPr>
      <w:r>
        <w:rPr>
          <w:rFonts w:hint="eastAsia" w:ascii="仿宋" w:hAnsi="仿宋" w:eastAsia="仿宋" w:cs="仿宋"/>
          <w:sz w:val="30"/>
          <w:szCs w:val="30"/>
          <w:lang w:val="en-US" w:eastAsia="zh-CN"/>
        </w:rPr>
        <w:t>具体操作：登录系统，进入【资产调剂共享】--&gt;【共享广场】页面。“本地区”显示的是本地区审核终审的可共享资产，接收财政部已审核后更新“调剂共享审核状态”，后续登记共享结果也进行相应更新（如共享接收方的信息）如图1-2-1，“全国”显示的是通过接收财政部已审核的可共享资产，包括本地区调剂共享全国的共享资产如图1-2-2。共享资产默认图片呈现数据，图示显示信息：资产名称、财政区划、资产照片、资产编号、共享状态、资产数量或面积、所属单位。</w:t>
      </w:r>
    </w:p>
    <w:p>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"C:\\Users\\吴应翔\\AppData\\Roaming\\LanxinSoftCustom\\Resource\\Pictures\\524288\\lanxin_20250529103006.png"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220335" cy="3391535"/>
            <wp:effectExtent l="0" t="0" r="18415" b="18415"/>
            <wp:docPr id="97" name="图片 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5" descr="IMG_256"/>
                    <pic:cNvPicPr>
                      <a:picLocks noChangeAspect="true"/>
                    </pic:cNvPicPr>
                  </pic:nvPicPr>
                  <pic:blipFill>
                    <a:blip r:embed="rId28" r:link="rId29"/>
                    <a:stretch>
                      <a:fillRect/>
                    </a:stretch>
                  </pic:blipFill>
                  <pic:spPr>
                    <a:xfrm>
                      <a:off x="0" y="0"/>
                      <a:ext cx="5220335" cy="3391535"/>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center"/>
        <w:outlineLvl w:val="9"/>
        <w:rPr>
          <w:rFonts w:hint="default"/>
          <w:lang w:val="en-US" w:eastAsia="zh-CN"/>
        </w:rPr>
      </w:pPr>
      <w:r>
        <w:rPr>
          <w:rFonts w:hint="eastAsia" w:ascii="宋体" w:hAnsi="宋体" w:eastAsia="宋体" w:cs="宋体"/>
          <w:kern w:val="2"/>
          <w:sz w:val="24"/>
          <w:szCs w:val="24"/>
          <w:lang w:val="en-US" w:eastAsia="zh-CN" w:bidi="ar-SA"/>
        </w:rPr>
        <w:t>图1-2-1</w:t>
      </w:r>
    </w:p>
    <w:p>
      <w:pPr>
        <w:jc w:val="both"/>
        <w:rPr>
          <w:rFonts w:hint="default" w:ascii="宋体" w:hAnsi="宋体" w:eastAsia="宋体" w:cs="宋体"/>
          <w:sz w:val="24"/>
          <w:szCs w:val="24"/>
          <w:lang w:val="en-US" w:eastAsia="zh-CN"/>
        </w:rPr>
      </w:pPr>
    </w:p>
    <w:p>
      <w:pPr>
        <w:jc w:val="both"/>
      </w:pPr>
      <w:r>
        <w:drawing>
          <wp:inline distT="0" distB="0" distL="114300" distR="114300">
            <wp:extent cx="5267325" cy="2963545"/>
            <wp:effectExtent l="0" t="0" r="9525" b="8255"/>
            <wp:docPr id="91"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17"/>
                    <pic:cNvPicPr>
                      <a:picLocks noChangeAspect="true"/>
                    </pic:cNvPicPr>
                  </pic:nvPicPr>
                  <pic:blipFill>
                    <a:blip r:embed="rId30"/>
                    <a:stretch>
                      <a:fillRect/>
                    </a:stretch>
                  </pic:blipFill>
                  <pic:spPr>
                    <a:xfrm>
                      <a:off x="0" y="0"/>
                      <a:ext cx="5267325" cy="2963545"/>
                    </a:xfrm>
                    <a:prstGeom prst="rect">
                      <a:avLst/>
                    </a:prstGeom>
                    <a:noFill/>
                    <a:ln>
                      <a:noFill/>
                    </a:ln>
                  </pic:spPr>
                </pic:pic>
              </a:graphicData>
            </a:graphic>
          </wp:inline>
        </w:drawing>
      </w:r>
    </w:p>
    <w:p>
      <w:pPr>
        <w:jc w:val="center"/>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图1-2-2</w:t>
      </w:r>
    </w:p>
    <w:p>
      <w:pPr>
        <w:jc w:val="center"/>
        <w:rPr>
          <w:rFonts w:hint="eastAsia" w:ascii="宋体" w:hAnsi="宋体" w:eastAsia="宋体" w:cs="宋体"/>
          <w:kern w:val="2"/>
          <w:sz w:val="24"/>
          <w:szCs w:val="24"/>
          <w:lang w:val="en-US" w:eastAsia="zh-CN" w:bidi="ar-SA"/>
        </w:rPr>
      </w:pPr>
    </w:p>
    <w:p>
      <w:pPr>
        <w:ind w:firstLine="600" w:firstLineChars="200"/>
        <w:jc w:val="both"/>
        <w:rPr>
          <w:rFonts w:hint="eastAsia" w:ascii="仿宋" w:hAnsi="仿宋" w:eastAsia="仿宋" w:cs="仿宋"/>
          <w:kern w:val="2"/>
          <w:sz w:val="30"/>
          <w:szCs w:val="30"/>
          <w:lang w:val="en-US" w:eastAsia="zh-CN" w:bidi="ar-SA"/>
        </w:rPr>
      </w:pPr>
      <w:r>
        <w:rPr>
          <w:rFonts w:hint="eastAsia" w:ascii="仿宋" w:hAnsi="仿宋" w:eastAsia="仿宋" w:cs="仿宋"/>
          <w:sz w:val="30"/>
          <w:szCs w:val="30"/>
          <w:lang w:val="en-US" w:eastAsia="zh-CN"/>
        </w:rPr>
        <w:t>点击列表“资产照片”，点击支持放大图片查看。如图</w:t>
      </w:r>
      <w:r>
        <w:rPr>
          <w:rFonts w:hint="eastAsia" w:ascii="仿宋" w:hAnsi="仿宋" w:eastAsia="仿宋" w:cs="仿宋"/>
          <w:kern w:val="2"/>
          <w:sz w:val="30"/>
          <w:szCs w:val="30"/>
          <w:lang w:val="en-US" w:eastAsia="zh-CN" w:bidi="ar-SA"/>
        </w:rPr>
        <w:t>1-2-3所示。</w:t>
      </w:r>
    </w:p>
    <w:p>
      <w:pPr>
        <w:jc w:val="both"/>
      </w:pPr>
      <w:r>
        <w:drawing>
          <wp:inline distT="0" distB="0" distL="114300" distR="114300">
            <wp:extent cx="5273040" cy="2321560"/>
            <wp:effectExtent l="0" t="0" r="3810" b="2540"/>
            <wp:docPr id="92"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true"/>
                    </pic:cNvPicPr>
                  </pic:nvPicPr>
                  <pic:blipFill>
                    <a:blip r:embed="rId31"/>
                    <a:stretch>
                      <a:fillRect/>
                    </a:stretch>
                  </pic:blipFill>
                  <pic:spPr>
                    <a:xfrm>
                      <a:off x="0" y="0"/>
                      <a:ext cx="5273040" cy="232156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图1-2-3</w:t>
      </w:r>
    </w:p>
    <w:p>
      <w:pPr>
        <w:spacing w:line="24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点击【查看详情】即弹出资产详情界面，依次列示调剂送审方信息、调剂接收方信息、卡片详情、附件列表如图1-2-4。</w:t>
      </w:r>
    </w:p>
    <w:p>
      <w:pPr>
        <w:jc w:val="both"/>
      </w:pPr>
      <w:r>
        <w:drawing>
          <wp:inline distT="0" distB="0" distL="114300" distR="114300">
            <wp:extent cx="5268595" cy="3138170"/>
            <wp:effectExtent l="0" t="0" r="8255" b="5080"/>
            <wp:docPr id="93"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19"/>
                    <pic:cNvPicPr>
                      <a:picLocks noChangeAspect="true"/>
                    </pic:cNvPicPr>
                  </pic:nvPicPr>
                  <pic:blipFill>
                    <a:blip r:embed="rId32"/>
                    <a:stretch>
                      <a:fillRect/>
                    </a:stretch>
                  </pic:blipFill>
                  <pic:spPr>
                    <a:xfrm>
                      <a:off x="0" y="0"/>
                      <a:ext cx="5268595" cy="3138170"/>
                    </a:xfrm>
                    <a:prstGeom prst="rect">
                      <a:avLst/>
                    </a:prstGeom>
                    <a:noFill/>
                    <a:ln>
                      <a:noFill/>
                    </a:ln>
                  </pic:spPr>
                </pic:pic>
              </a:graphicData>
            </a:graphic>
          </wp:inline>
        </w:drawing>
      </w:r>
    </w:p>
    <w:p>
      <w:pPr>
        <w:jc w:val="center"/>
        <w:outlineLvl w:val="9"/>
        <w:rPr>
          <w:rFonts w:hint="default" w:eastAsiaTheme="minorEastAsia"/>
          <w:lang w:val="en-US" w:eastAsia="zh-CN"/>
        </w:rPr>
      </w:pPr>
      <w:r>
        <w:rPr>
          <w:rFonts w:hint="eastAsia" w:ascii="宋体" w:hAnsi="宋体" w:eastAsia="宋体" w:cs="宋体"/>
          <w:sz w:val="24"/>
          <w:szCs w:val="24"/>
          <w:lang w:val="en-US" w:eastAsia="zh-CN"/>
        </w:rPr>
        <w:t>图1-2-4</w:t>
      </w:r>
    </w:p>
    <w:p>
      <w:pPr>
        <w:jc w:val="both"/>
        <w:rPr>
          <w:rFonts w:hint="default"/>
          <w:lang w:val="en-US" w:eastAsia="zh-CN"/>
        </w:rPr>
      </w:pPr>
    </w:p>
    <w:p>
      <w:pPr>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点击【切换成列表/图示】可由图示如图1-2-5切换成列表如图1-2-6。</w:t>
      </w:r>
    </w:p>
    <w:p>
      <w:pPr>
        <w:jc w:val="both"/>
      </w:pPr>
      <w:r>
        <w:drawing>
          <wp:inline distT="0" distB="0" distL="114300" distR="114300">
            <wp:extent cx="5269865" cy="3750310"/>
            <wp:effectExtent l="0" t="0" r="6985" b="2540"/>
            <wp:docPr id="95"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20"/>
                    <pic:cNvPicPr>
                      <a:picLocks noChangeAspect="true"/>
                    </pic:cNvPicPr>
                  </pic:nvPicPr>
                  <pic:blipFill>
                    <a:blip r:embed="rId33"/>
                    <a:stretch>
                      <a:fillRect/>
                    </a:stretch>
                  </pic:blipFill>
                  <pic:spPr>
                    <a:xfrm>
                      <a:off x="0" y="0"/>
                      <a:ext cx="5269865" cy="375031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图1-2-5</w:t>
      </w:r>
    </w:p>
    <w:p>
      <w:pPr>
        <w:jc w:val="center"/>
        <w:rPr>
          <w:rFonts w:hint="eastAsia" w:ascii="宋体" w:hAnsi="宋体" w:eastAsia="宋体" w:cs="宋体"/>
          <w:sz w:val="24"/>
          <w:szCs w:val="24"/>
          <w:lang w:val="en-US" w:eastAsia="zh-CN"/>
        </w:rPr>
      </w:pPr>
    </w:p>
    <w:p>
      <w:pPr>
        <w:pStyle w:val="2"/>
        <w:rPr>
          <w:rFonts w:hint="eastAsia"/>
          <w:lang w:val="en-US" w:eastAsia="zh-CN"/>
        </w:rPr>
      </w:pPr>
    </w:p>
    <w:p>
      <w:pPr>
        <w:jc w:val="both"/>
      </w:pPr>
      <w:r>
        <w:drawing>
          <wp:inline distT="0" distB="0" distL="114300" distR="114300">
            <wp:extent cx="5267960" cy="3158490"/>
            <wp:effectExtent l="0" t="0" r="8890" b="3810"/>
            <wp:docPr id="96"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21"/>
                    <pic:cNvPicPr>
                      <a:picLocks noChangeAspect="true"/>
                    </pic:cNvPicPr>
                  </pic:nvPicPr>
                  <pic:blipFill>
                    <a:blip r:embed="rId34"/>
                    <a:stretch>
                      <a:fillRect/>
                    </a:stretch>
                  </pic:blipFill>
                  <pic:spPr>
                    <a:xfrm>
                      <a:off x="0" y="0"/>
                      <a:ext cx="5267960" cy="3158490"/>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图1-2-6</w:t>
      </w:r>
    </w:p>
    <w:p>
      <w:pPr>
        <w:jc w:val="center"/>
        <w:rPr>
          <w:rFonts w:hint="eastAsia" w:ascii="宋体" w:hAnsi="宋体" w:eastAsia="宋体" w:cs="宋体"/>
          <w:sz w:val="24"/>
          <w:szCs w:val="24"/>
          <w:lang w:val="en-US" w:eastAsia="zh-CN"/>
        </w:rPr>
      </w:pPr>
    </w:p>
    <w:p>
      <w:pPr>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点击【导出】，切换成列表再导出，就能导出选中的数据资产信息，如图1-2-7。</w:t>
      </w:r>
    </w:p>
    <w:p>
      <w:pPr>
        <w:jc w:val="both"/>
      </w:pPr>
      <w:r>
        <w:drawing>
          <wp:inline distT="0" distB="0" distL="114300" distR="114300">
            <wp:extent cx="5266690" cy="2997835"/>
            <wp:effectExtent l="0" t="0" r="10160" b="12065"/>
            <wp:docPr id="98"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true"/>
                    </pic:cNvPicPr>
                  </pic:nvPicPr>
                  <pic:blipFill>
                    <a:blip r:embed="rId35"/>
                    <a:stretch>
                      <a:fillRect/>
                    </a:stretch>
                  </pic:blipFill>
                  <pic:spPr>
                    <a:xfrm>
                      <a:off x="0" y="0"/>
                      <a:ext cx="5266690" cy="2997835"/>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图1-2-7</w:t>
      </w:r>
    </w:p>
    <w:p>
      <w:pPr>
        <w:jc w:val="center"/>
        <w:rPr>
          <w:rFonts w:hint="eastAsia" w:ascii="宋体" w:hAnsi="宋体" w:eastAsia="宋体" w:cs="宋体"/>
          <w:sz w:val="24"/>
          <w:szCs w:val="24"/>
          <w:lang w:val="en-US" w:eastAsia="zh-CN"/>
        </w:rPr>
      </w:pPr>
    </w:p>
    <w:p>
      <w:pPr>
        <w:bidi w:val="0"/>
        <w:spacing w:line="360" w:lineRule="auto"/>
        <w:ind w:firstLine="600" w:firstLineChars="200"/>
        <w:outlineLvl w:val="1"/>
        <w:rPr>
          <w:rFonts w:hint="eastAsia" w:ascii="楷体" w:hAnsi="楷体" w:eastAsia="楷体" w:cs="楷体"/>
          <w:b w:val="0"/>
          <w:bCs w:val="0"/>
          <w:sz w:val="30"/>
          <w:szCs w:val="30"/>
          <w:lang w:val="en-US" w:eastAsia="zh-CN"/>
        </w:rPr>
      </w:pPr>
      <w:bookmarkStart w:id="44" w:name="_Toc22577_WPSOffice_Level2"/>
      <w:bookmarkStart w:id="45" w:name="_Toc32532"/>
      <w:bookmarkStart w:id="46" w:name="_Toc1780"/>
      <w:bookmarkStart w:id="47" w:name="_Toc949"/>
      <w:r>
        <w:rPr>
          <w:rFonts w:hint="eastAsia" w:ascii="楷体" w:hAnsi="楷体" w:eastAsia="楷体" w:cs="楷体"/>
          <w:b w:val="0"/>
          <w:bCs w:val="0"/>
          <w:sz w:val="30"/>
          <w:szCs w:val="30"/>
          <w:lang w:val="en-US" w:eastAsia="zh-CN"/>
        </w:rPr>
        <w:t>（二）调剂资产</w:t>
      </w:r>
      <w:bookmarkEnd w:id="44"/>
      <w:bookmarkEnd w:id="45"/>
      <w:bookmarkEnd w:id="46"/>
      <w:bookmarkEnd w:id="47"/>
    </w:p>
    <w:p>
      <w:pPr>
        <w:spacing w:before="54" w:line="368" w:lineRule="auto"/>
        <w:ind w:left="21" w:right="249" w:firstLine="600" w:firstLineChars="200"/>
        <w:rPr>
          <w:rFonts w:hint="eastAsia"/>
          <w:sz w:val="30"/>
          <w:szCs w:val="30"/>
          <w:lang w:val="en-US" w:eastAsia="zh-CN"/>
        </w:rPr>
      </w:pPr>
      <w:r>
        <w:rPr>
          <w:rFonts w:hint="eastAsia" w:ascii="仿宋" w:hAnsi="仿宋" w:eastAsia="仿宋" w:cs="仿宋"/>
          <w:spacing w:val="0"/>
          <w:sz w:val="30"/>
          <w:szCs w:val="30"/>
          <w:highlight w:val="none"/>
        </w:rPr>
        <w:t>查看本单位资产信息卡数据，选择闲置、待处置等其他可调剂资产进行发布操作，发布完成后可调剂资产信息将发布至调剂广场。</w:t>
      </w:r>
    </w:p>
    <w:p>
      <w:pPr>
        <w:numPr>
          <w:ilvl w:val="0"/>
          <w:numId w:val="0"/>
        </w:numPr>
        <w:bidi w:val="0"/>
        <w:ind w:firstLine="602" w:firstLineChars="200"/>
        <w:outlineLvl w:val="9"/>
        <w:rPr>
          <w:rFonts w:hint="eastAsia" w:ascii="仿宋" w:hAnsi="仿宋" w:eastAsia="仿宋" w:cs="仿宋"/>
          <w:b/>
          <w:bCs/>
          <w:sz w:val="30"/>
          <w:szCs w:val="30"/>
          <w:lang w:val="en-US" w:eastAsia="zh-CN"/>
        </w:rPr>
      </w:pPr>
      <w:bookmarkStart w:id="48" w:name="_Toc15554_WPSOffice_Level3"/>
      <w:bookmarkStart w:id="49" w:name="_Toc7383"/>
      <w:bookmarkStart w:id="50" w:name="_Toc1092"/>
      <w:bookmarkStart w:id="51" w:name="_Toc681"/>
      <w:r>
        <w:rPr>
          <w:rFonts w:hint="eastAsia" w:ascii="仿宋" w:hAnsi="仿宋" w:eastAsia="仿宋" w:cs="仿宋"/>
          <w:b/>
          <w:bCs/>
          <w:sz w:val="30"/>
          <w:szCs w:val="30"/>
          <w:lang w:val="en-US" w:eastAsia="zh-CN"/>
        </w:rPr>
        <w:t>1.调剂资产</w:t>
      </w:r>
      <w:bookmarkEnd w:id="48"/>
      <w:r>
        <w:rPr>
          <w:rFonts w:hint="eastAsia" w:ascii="仿宋" w:hAnsi="仿宋" w:eastAsia="仿宋" w:cs="仿宋"/>
          <w:b/>
          <w:bCs/>
          <w:sz w:val="30"/>
          <w:szCs w:val="30"/>
          <w:lang w:val="en-US" w:eastAsia="zh-CN"/>
        </w:rPr>
        <w:t>发布</w:t>
      </w:r>
      <w:bookmarkEnd w:id="49"/>
      <w:bookmarkEnd w:id="50"/>
      <w:bookmarkEnd w:id="51"/>
    </w:p>
    <w:p>
      <w:pPr>
        <w:spacing w:line="240" w:lineRule="auto"/>
        <w:ind w:firstLine="600" w:firstLineChars="200"/>
        <w:rPr>
          <w:rFonts w:hint="eastAsia" w:ascii="仿宋" w:hAnsi="仿宋" w:eastAsia="仿宋" w:cs="仿宋"/>
          <w:spacing w:val="0"/>
          <w:sz w:val="30"/>
          <w:szCs w:val="30"/>
          <w:highlight w:val="none"/>
          <w:lang w:val="en-US" w:eastAsia="zh-CN"/>
        </w:rPr>
      </w:pPr>
      <w:r>
        <w:rPr>
          <w:rFonts w:hint="eastAsia" w:ascii="仿宋" w:hAnsi="仿宋" w:eastAsia="仿宋" w:cs="仿宋"/>
          <w:kern w:val="2"/>
          <w:sz w:val="30"/>
          <w:szCs w:val="30"/>
          <w:lang w:val="zh-CN" w:eastAsia="zh-CN" w:bidi="ar-SA"/>
        </w:rPr>
        <w:t>具体操作：登录系统，进入【资产调剂共享】--&gt;【</w:t>
      </w:r>
      <w:r>
        <w:rPr>
          <w:rFonts w:hint="eastAsia" w:ascii="仿宋" w:hAnsi="仿宋" w:eastAsia="仿宋" w:cs="仿宋"/>
          <w:kern w:val="2"/>
          <w:sz w:val="30"/>
          <w:szCs w:val="30"/>
          <w:lang w:val="en-US" w:eastAsia="zh-CN" w:bidi="ar-SA"/>
        </w:rPr>
        <w:t>调剂资产</w:t>
      </w:r>
      <w:r>
        <w:rPr>
          <w:rFonts w:hint="eastAsia" w:ascii="仿宋" w:hAnsi="仿宋" w:eastAsia="仿宋" w:cs="仿宋"/>
          <w:kern w:val="2"/>
          <w:sz w:val="30"/>
          <w:szCs w:val="30"/>
          <w:lang w:val="zh-CN" w:eastAsia="zh-CN" w:bidi="ar-SA"/>
        </w:rPr>
        <w:t>】--&gt;【</w:t>
      </w:r>
      <w:r>
        <w:rPr>
          <w:rFonts w:hint="eastAsia" w:ascii="仿宋" w:hAnsi="仿宋" w:eastAsia="仿宋" w:cs="仿宋"/>
          <w:kern w:val="2"/>
          <w:sz w:val="30"/>
          <w:szCs w:val="30"/>
          <w:lang w:val="en-US" w:eastAsia="zh-CN" w:bidi="ar-SA"/>
        </w:rPr>
        <w:t>调剂资产发布</w:t>
      </w:r>
      <w:r>
        <w:rPr>
          <w:rFonts w:hint="eastAsia" w:ascii="仿宋" w:hAnsi="仿宋" w:eastAsia="仿宋" w:cs="仿宋"/>
          <w:kern w:val="2"/>
          <w:sz w:val="30"/>
          <w:szCs w:val="30"/>
          <w:lang w:val="zh-CN" w:eastAsia="zh-CN" w:bidi="ar-SA"/>
        </w:rPr>
        <w:t>】页面，</w:t>
      </w:r>
      <w:r>
        <w:rPr>
          <w:rFonts w:hint="eastAsia" w:ascii="仿宋" w:hAnsi="仿宋" w:eastAsia="仿宋" w:cs="仿宋"/>
          <w:kern w:val="2"/>
          <w:sz w:val="30"/>
          <w:szCs w:val="30"/>
          <w:lang w:val="en-US" w:eastAsia="zh-CN" w:bidi="ar-SA"/>
        </w:rPr>
        <w:t>点击【新增】，新增调剂资产发布单，</w:t>
      </w:r>
      <w:r>
        <w:rPr>
          <w:rFonts w:hint="eastAsia" w:ascii="仿宋" w:hAnsi="仿宋" w:eastAsia="仿宋" w:cs="仿宋"/>
          <w:sz w:val="30"/>
          <w:szCs w:val="30"/>
          <w:lang w:val="zh-CN"/>
        </w:rPr>
        <w:t>填写</w:t>
      </w:r>
      <w:r>
        <w:rPr>
          <w:rFonts w:hint="eastAsia" w:ascii="仿宋" w:hAnsi="仿宋" w:eastAsia="仿宋" w:cs="仿宋"/>
          <w:sz w:val="30"/>
          <w:szCs w:val="30"/>
          <w:lang w:val="en-US" w:eastAsia="zh-CN"/>
        </w:rPr>
        <w:t>调剂发布方</w:t>
      </w:r>
      <w:r>
        <w:rPr>
          <w:rFonts w:hint="eastAsia" w:ascii="仿宋" w:hAnsi="仿宋" w:eastAsia="仿宋" w:cs="仿宋"/>
          <w:sz w:val="30"/>
          <w:szCs w:val="30"/>
          <w:lang w:val="zh-CN"/>
        </w:rPr>
        <w:t>信息、</w:t>
      </w:r>
      <w:r>
        <w:rPr>
          <w:rFonts w:hint="eastAsia" w:ascii="仿宋" w:hAnsi="仿宋" w:eastAsia="仿宋" w:cs="仿宋"/>
          <w:sz w:val="30"/>
          <w:szCs w:val="30"/>
          <w:lang w:val="en-US" w:eastAsia="zh-CN"/>
        </w:rPr>
        <w:t>调剂共享范围选择全国，则在共享广场的全国界面显示，选择本省至本部门，则在共享广场的本地区界面显示，资产明细处点击【选择资产卡片】，选择需要调剂的资产卡片后点击【保存】如图1-3-1（“选择资产卡片”卡片状态是闲置或者待处置的可显示）</w:t>
      </w:r>
      <w:r>
        <w:rPr>
          <w:rFonts w:hint="eastAsia" w:ascii="仿宋" w:hAnsi="仿宋" w:eastAsia="仿宋" w:cs="仿宋"/>
          <w:spacing w:val="0"/>
          <w:sz w:val="30"/>
          <w:szCs w:val="30"/>
          <w:highlight w:val="none"/>
          <w:lang w:val="en-US" w:eastAsia="zh-CN"/>
        </w:rPr>
        <w:t>新增保存</w:t>
      </w:r>
      <w:r>
        <w:rPr>
          <w:rFonts w:hint="eastAsia" w:ascii="仿宋" w:hAnsi="仿宋" w:eastAsia="仿宋" w:cs="仿宋"/>
          <w:spacing w:val="0"/>
          <w:sz w:val="30"/>
          <w:szCs w:val="30"/>
          <w:highlight w:val="none"/>
        </w:rPr>
        <w:t>提示上传照片，</w:t>
      </w:r>
      <w:r>
        <w:rPr>
          <w:rFonts w:hint="eastAsia" w:ascii="仿宋" w:hAnsi="仿宋" w:eastAsia="仿宋" w:cs="仿宋"/>
          <w:spacing w:val="0"/>
          <w:sz w:val="30"/>
          <w:szCs w:val="30"/>
          <w:highlight w:val="none"/>
          <w:lang w:val="en-US" w:eastAsia="zh-CN"/>
        </w:rPr>
        <w:t>如果卡片没有上传招聘，需要到【卡片变动】功能</w:t>
      </w:r>
      <w:r>
        <w:rPr>
          <w:rFonts w:hint="eastAsia" w:ascii="仿宋" w:hAnsi="仿宋" w:eastAsia="仿宋" w:cs="仿宋"/>
          <w:spacing w:val="0"/>
          <w:sz w:val="30"/>
          <w:szCs w:val="30"/>
          <w:highlight w:val="none"/>
        </w:rPr>
        <w:t>做属性变动上传照片。</w:t>
      </w:r>
      <w:r>
        <w:rPr>
          <w:rFonts w:hint="eastAsia" w:ascii="仿宋" w:hAnsi="仿宋" w:eastAsia="仿宋" w:cs="仿宋"/>
          <w:spacing w:val="0"/>
          <w:sz w:val="30"/>
          <w:szCs w:val="30"/>
          <w:highlight w:val="none"/>
          <w:lang w:val="en-US" w:eastAsia="zh-CN"/>
        </w:rPr>
        <w:t>做属性变动终审后再新增调剂资产发布单据。</w:t>
      </w:r>
    </w:p>
    <w:p>
      <w:pPr>
        <w:spacing w:beforeLines="0" w:afterLines="0" w:line="480" w:lineRule="auto"/>
        <w:ind w:firstLine="600" w:firstLineChars="200"/>
        <w:rPr>
          <w:rFonts w:hint="default"/>
          <w:sz w:val="30"/>
          <w:szCs w:val="30"/>
          <w:lang w:val="en-US" w:eastAsia="zh-CN"/>
        </w:rPr>
      </w:pPr>
      <w:r>
        <w:rPr>
          <w:rFonts w:hint="eastAsia" w:ascii="仿宋" w:hAnsi="仿宋" w:eastAsia="仿宋" w:cs="仿宋"/>
          <w:sz w:val="30"/>
          <w:szCs w:val="30"/>
          <w:lang w:val="en-US" w:eastAsia="zh-CN"/>
        </w:rPr>
        <w:t>新增卡片使用所有权调剂给其他单位，卡片状态是闲置或者待处置的可显示，终审后，调剂资产管理和调剂广场显示。</w:t>
      </w:r>
    </w:p>
    <w:p>
      <w:pPr>
        <w:rPr>
          <w:rFonts w:hint="default"/>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"C:\\Users\\吴应翔\\AppData\\Roaming\\LanxinSoftCustom\\Resource\\Pictures\\524288\\lanxin_20250529105341.png"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333365" cy="3222625"/>
            <wp:effectExtent l="0" t="0" r="635" b="15875"/>
            <wp:docPr id="103" name="图片 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8" descr="IMG_256"/>
                    <pic:cNvPicPr>
                      <a:picLocks noChangeAspect="true"/>
                    </pic:cNvPicPr>
                  </pic:nvPicPr>
                  <pic:blipFill>
                    <a:blip r:embed="rId36" r:link="rId37"/>
                    <a:stretch>
                      <a:fillRect/>
                    </a:stretch>
                  </pic:blipFill>
                  <pic:spPr>
                    <a:xfrm>
                      <a:off x="0" y="0"/>
                      <a:ext cx="5333365" cy="3222625"/>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图1-3-1</w:t>
      </w:r>
    </w:p>
    <w:p>
      <w:pPr>
        <w:pStyle w:val="2"/>
        <w:rPr>
          <w:rFonts w:hint="eastAsia"/>
          <w:lang w:val="en-US" w:eastAsia="zh-CN"/>
        </w:rPr>
      </w:pPr>
    </w:p>
    <w:p>
      <w:pPr>
        <w:ind w:firstLine="600" w:firstLineChars="200"/>
        <w:jc w:val="both"/>
        <w:rPr>
          <w:rFonts w:hint="default" w:ascii="宋体" w:hAnsi="宋体" w:eastAsia="宋体" w:cs="宋体"/>
          <w:sz w:val="30"/>
          <w:szCs w:val="30"/>
          <w:lang w:val="en-US" w:eastAsia="zh-CN"/>
        </w:rPr>
      </w:pPr>
      <w:r>
        <w:rPr>
          <w:rFonts w:hint="eastAsia" w:ascii="仿宋" w:hAnsi="仿宋" w:eastAsia="仿宋" w:cs="仿宋"/>
          <w:sz w:val="30"/>
          <w:szCs w:val="30"/>
          <w:lang w:val="zh-CN" w:eastAsia="zh-CN"/>
        </w:rPr>
        <w:t>点击【修改】，进入修改信息界面，如图1-3-2。</w:t>
      </w:r>
    </w:p>
    <w:p>
      <w:pPr>
        <w:jc w:val="both"/>
        <w:rPr>
          <w:rFonts w:hint="eastAsia" w:ascii="宋体" w:hAnsi="宋体" w:eastAsia="宋体" w:cs="宋体"/>
          <w:sz w:val="24"/>
          <w:szCs w:val="24"/>
          <w:lang w:val="en-US" w:eastAsia="zh-CN"/>
        </w:rPr>
      </w:pPr>
    </w:p>
    <w:p>
      <w:pPr>
        <w:jc w:val="both"/>
      </w:pPr>
      <w:r>
        <w:drawing>
          <wp:inline distT="0" distB="0" distL="114300" distR="114300">
            <wp:extent cx="5268595" cy="3088640"/>
            <wp:effectExtent l="0" t="0" r="8255" b="16510"/>
            <wp:docPr id="101"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24"/>
                    <pic:cNvPicPr>
                      <a:picLocks noChangeAspect="true"/>
                    </pic:cNvPicPr>
                  </pic:nvPicPr>
                  <pic:blipFill>
                    <a:blip r:embed="rId38"/>
                    <a:stretch>
                      <a:fillRect/>
                    </a:stretch>
                  </pic:blipFill>
                  <pic:spPr>
                    <a:xfrm>
                      <a:off x="0" y="0"/>
                      <a:ext cx="5268595" cy="308864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图1-3-2</w:t>
      </w:r>
    </w:p>
    <w:p>
      <w:pPr>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点击【删除】，即删除选中的数据，如图1-3-3。</w:t>
      </w:r>
    </w:p>
    <w:p>
      <w:pPr>
        <w:jc w:val="both"/>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"C:\\Users\\吴应翔\\AppData\\Roaming\\LanxinSoftCustom\\Resource\\Pictures\\524288\\lanxin_20250529105451.png"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295900" cy="3287395"/>
            <wp:effectExtent l="0" t="0" r="0" b="8255"/>
            <wp:docPr id="115" name="图片 9"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9" descr="IMG_256"/>
                    <pic:cNvPicPr>
                      <a:picLocks noChangeAspect="true"/>
                    </pic:cNvPicPr>
                  </pic:nvPicPr>
                  <pic:blipFill>
                    <a:blip r:embed="rId39" r:link="rId40"/>
                    <a:stretch>
                      <a:fillRect/>
                    </a:stretch>
                  </pic:blipFill>
                  <pic:spPr>
                    <a:xfrm>
                      <a:off x="0" y="0"/>
                      <a:ext cx="5295900" cy="3287395"/>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图1-3-3</w:t>
      </w:r>
    </w:p>
    <w:p>
      <w:pPr>
        <w:pStyle w:val="2"/>
        <w:rPr>
          <w:rFonts w:hint="eastAsia"/>
          <w:lang w:val="en-US" w:eastAsia="zh-CN"/>
        </w:rPr>
      </w:pPr>
    </w:p>
    <w:p>
      <w:pPr>
        <w:spacing w:line="240" w:lineRule="auto"/>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点击【送审】，将选择的调剂资产单据进行送审如图1-3-4，送审的单据显示在【已审核】界面，如下个节点未审核，可取消送审，如图1-3-5。</w:t>
      </w:r>
    </w:p>
    <w:p>
      <w:pPr>
        <w:jc w:val="both"/>
      </w:pPr>
      <w:r>
        <w:drawing>
          <wp:inline distT="0" distB="0" distL="114300" distR="114300">
            <wp:extent cx="5270500" cy="3200400"/>
            <wp:effectExtent l="0" t="0" r="6350" b="0"/>
            <wp:docPr id="104"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26"/>
                    <pic:cNvPicPr>
                      <a:picLocks noChangeAspect="true"/>
                    </pic:cNvPicPr>
                  </pic:nvPicPr>
                  <pic:blipFill>
                    <a:blip r:embed="rId41"/>
                    <a:stretch>
                      <a:fillRect/>
                    </a:stretch>
                  </pic:blipFill>
                  <pic:spPr>
                    <a:xfrm>
                      <a:off x="0" y="0"/>
                      <a:ext cx="5270500" cy="320040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图1-3-4</w:t>
      </w:r>
    </w:p>
    <w:p>
      <w:pPr>
        <w:jc w:val="center"/>
        <w:rPr>
          <w:rFonts w:hint="eastAsia" w:ascii="宋体" w:hAnsi="宋体" w:eastAsia="宋体" w:cs="宋体"/>
          <w:sz w:val="24"/>
          <w:szCs w:val="24"/>
          <w:lang w:val="en-US" w:eastAsia="zh-CN"/>
        </w:rPr>
      </w:pPr>
    </w:p>
    <w:p>
      <w:pPr>
        <w:jc w:val="both"/>
      </w:pPr>
      <w:r>
        <w:drawing>
          <wp:inline distT="0" distB="0" distL="114300" distR="114300">
            <wp:extent cx="5270500" cy="3625215"/>
            <wp:effectExtent l="0" t="0" r="6350" b="13335"/>
            <wp:docPr id="105"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27"/>
                    <pic:cNvPicPr>
                      <a:picLocks noChangeAspect="true"/>
                    </pic:cNvPicPr>
                  </pic:nvPicPr>
                  <pic:blipFill>
                    <a:blip r:embed="rId42"/>
                    <a:stretch>
                      <a:fillRect/>
                    </a:stretch>
                  </pic:blipFill>
                  <pic:spPr>
                    <a:xfrm>
                      <a:off x="0" y="0"/>
                      <a:ext cx="5270500" cy="3625215"/>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图1-3-5</w:t>
      </w:r>
    </w:p>
    <w:p>
      <w:pPr>
        <w:jc w:val="center"/>
        <w:rPr>
          <w:rFonts w:hint="eastAsia" w:ascii="宋体" w:hAnsi="宋体" w:eastAsia="宋体" w:cs="宋体"/>
          <w:sz w:val="24"/>
          <w:szCs w:val="24"/>
          <w:lang w:val="en-US" w:eastAsia="zh-CN"/>
        </w:rPr>
      </w:pPr>
    </w:p>
    <w:p>
      <w:pPr>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点击【查看详情】可查看调剂资产卡片信息，如图1-3-6。</w:t>
      </w:r>
    </w:p>
    <w:p>
      <w:pPr>
        <w:jc w:val="both"/>
      </w:pPr>
      <w:r>
        <w:drawing>
          <wp:inline distT="0" distB="0" distL="114300" distR="114300">
            <wp:extent cx="5264785" cy="3564255"/>
            <wp:effectExtent l="0" t="0" r="12065" b="17145"/>
            <wp:docPr id="106"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28"/>
                    <pic:cNvPicPr>
                      <a:picLocks noChangeAspect="true"/>
                    </pic:cNvPicPr>
                  </pic:nvPicPr>
                  <pic:blipFill>
                    <a:blip r:embed="rId43"/>
                    <a:stretch>
                      <a:fillRect/>
                    </a:stretch>
                  </pic:blipFill>
                  <pic:spPr>
                    <a:xfrm>
                      <a:off x="0" y="0"/>
                      <a:ext cx="5264785" cy="3564255"/>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图1-3-6</w:t>
      </w:r>
    </w:p>
    <w:p>
      <w:pPr>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点击【审核情况】，查看审核情况，可看出流程走到哪个节点，如图1-3-7。</w:t>
      </w:r>
    </w:p>
    <w:p>
      <w:pPr>
        <w:jc w:val="both"/>
      </w:pPr>
      <w:r>
        <w:drawing>
          <wp:inline distT="0" distB="0" distL="114300" distR="114300">
            <wp:extent cx="5263515" cy="3445510"/>
            <wp:effectExtent l="0" t="0" r="13335" b="2540"/>
            <wp:docPr id="1"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9"/>
                    <pic:cNvPicPr>
                      <a:picLocks noChangeAspect="true"/>
                    </pic:cNvPicPr>
                  </pic:nvPicPr>
                  <pic:blipFill>
                    <a:blip r:embed="rId44"/>
                    <a:stretch>
                      <a:fillRect/>
                    </a:stretch>
                  </pic:blipFill>
                  <pic:spPr>
                    <a:xfrm>
                      <a:off x="0" y="0"/>
                      <a:ext cx="5263515" cy="344551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图1-3-7</w:t>
      </w:r>
    </w:p>
    <w:p>
      <w:pPr>
        <w:jc w:val="center"/>
        <w:rPr>
          <w:rFonts w:hint="eastAsia" w:ascii="宋体" w:hAnsi="宋体" w:eastAsia="宋体" w:cs="宋体"/>
          <w:sz w:val="24"/>
          <w:szCs w:val="24"/>
          <w:lang w:val="en-US" w:eastAsia="zh-CN"/>
        </w:rPr>
      </w:pP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52" w:name="_Toc13544_WPSOffice_Level3"/>
      <w:bookmarkStart w:id="53" w:name="_Toc13946"/>
      <w:bookmarkStart w:id="54" w:name="_Toc7902"/>
      <w:bookmarkStart w:id="55" w:name="_Toc20830"/>
      <w:r>
        <w:rPr>
          <w:rFonts w:hint="eastAsia" w:ascii="仿宋" w:hAnsi="仿宋" w:eastAsia="仿宋" w:cs="仿宋"/>
          <w:b/>
          <w:bCs/>
          <w:sz w:val="30"/>
          <w:szCs w:val="30"/>
          <w:lang w:val="en-US" w:eastAsia="zh-CN"/>
        </w:rPr>
        <w:t>2.调剂资产审核</w:t>
      </w:r>
      <w:bookmarkEnd w:id="52"/>
      <w:bookmarkEnd w:id="53"/>
      <w:bookmarkEnd w:id="54"/>
      <w:bookmarkEnd w:id="55"/>
    </w:p>
    <w:p>
      <w:pPr>
        <w:spacing w:line="240" w:lineRule="auto"/>
        <w:ind w:firstLine="600" w:firstLineChars="200"/>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调剂资产审核存在调剂资产发布送审过来的数据，送审的数据并没有发布出去，还需要经过审核，发布全国的需要经过财政审核。</w:t>
      </w:r>
    </w:p>
    <w:p>
      <w:pPr>
        <w:spacing w:line="240" w:lineRule="auto"/>
        <w:ind w:firstLine="600" w:firstLineChars="200"/>
        <w:rPr>
          <w:rFonts w:hint="eastAsia" w:ascii="仿宋" w:hAnsi="仿宋" w:eastAsia="仿宋" w:cs="仿宋"/>
          <w:sz w:val="30"/>
          <w:szCs w:val="30"/>
          <w:lang w:val="zh-CN" w:eastAsia="zh-CN"/>
        </w:rPr>
      </w:pPr>
      <w:r>
        <w:rPr>
          <w:rFonts w:hint="eastAsia" w:ascii="仿宋" w:hAnsi="仿宋" w:eastAsia="仿宋" w:cs="仿宋"/>
          <w:kern w:val="2"/>
          <w:sz w:val="30"/>
          <w:szCs w:val="30"/>
          <w:lang w:val="zh-CN" w:eastAsia="zh-CN" w:bidi="ar-SA"/>
        </w:rPr>
        <w:t>具体操作：登录系统，进入【资产调剂共享】--&gt;【调剂资产】--&gt;【调剂资产审核】页面，待审核界面看到调剂资产发布送审过来的单据，如图1-3-8。</w:t>
      </w:r>
    </w:p>
    <w:p>
      <w:pPr>
        <w:rPr>
          <w:rFonts w:hint="eastAsia"/>
          <w:lang w:val="en-US" w:eastAsia="zh-CN"/>
        </w:rPr>
      </w:pPr>
    </w:p>
    <w:p>
      <w:pPr>
        <w:rPr>
          <w:rFonts w:hint="default"/>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"C:\\Users\\吴应翔\\AppData\\Roaming\\LanxinSoftCustom\\Resource\\Pictures\\524288\\lanxin_20250529110753.png"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209540" cy="4188460"/>
            <wp:effectExtent l="0" t="0" r="10160" b="2540"/>
            <wp:docPr id="131" name="图片 10"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0" descr="IMG_256"/>
                    <pic:cNvPicPr>
                      <a:picLocks noChangeAspect="true"/>
                    </pic:cNvPicPr>
                  </pic:nvPicPr>
                  <pic:blipFill>
                    <a:blip r:embed="rId45" r:link="rId46"/>
                    <a:stretch>
                      <a:fillRect/>
                    </a:stretch>
                  </pic:blipFill>
                  <pic:spPr>
                    <a:xfrm>
                      <a:off x="0" y="0"/>
                      <a:ext cx="5209540" cy="4188460"/>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center"/>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图</w:t>
      </w:r>
      <w:r>
        <w:rPr>
          <w:rFonts w:hint="eastAsia" w:ascii="宋体" w:hAnsi="宋体" w:eastAsia="宋体" w:cs="宋体"/>
          <w:kern w:val="2"/>
          <w:sz w:val="24"/>
          <w:szCs w:val="24"/>
          <w:lang w:val="en-US" w:eastAsia="zh-CN" w:bidi="ar-SA"/>
        </w:rPr>
        <w:t>1-3-8</w:t>
      </w:r>
    </w:p>
    <w:p>
      <w:pPr>
        <w:jc w:val="both"/>
        <w:rPr>
          <w:rFonts w:hint="default" w:ascii="宋体" w:hAnsi="宋体" w:eastAsia="宋体" w:cs="宋体"/>
          <w:kern w:val="2"/>
          <w:sz w:val="24"/>
          <w:szCs w:val="24"/>
          <w:lang w:val="en-US" w:eastAsia="zh-CN" w:bidi="ar-SA"/>
        </w:rPr>
      </w:pPr>
    </w:p>
    <w:p>
      <w:pPr>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选择一条数据点击【审核】，对已送审的调剂资产进行审核如图1-3-9。</w:t>
      </w:r>
    </w:p>
    <w:p>
      <w:pPr>
        <w:jc w:val="both"/>
      </w:pPr>
      <w:r>
        <w:drawing>
          <wp:inline distT="0" distB="0" distL="114300" distR="114300">
            <wp:extent cx="5262880" cy="2927350"/>
            <wp:effectExtent l="0" t="0" r="13970" b="6350"/>
            <wp:docPr id="109"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31"/>
                    <pic:cNvPicPr>
                      <a:picLocks noChangeAspect="true"/>
                    </pic:cNvPicPr>
                  </pic:nvPicPr>
                  <pic:blipFill>
                    <a:blip r:embed="rId47"/>
                    <a:stretch>
                      <a:fillRect/>
                    </a:stretch>
                  </pic:blipFill>
                  <pic:spPr>
                    <a:xfrm>
                      <a:off x="0" y="0"/>
                      <a:ext cx="5262880" cy="292735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图1-3-9</w:t>
      </w:r>
    </w:p>
    <w:p>
      <w:pPr>
        <w:spacing w:line="240" w:lineRule="auto"/>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审核数据进入已审核界面，【取消审核】，对已审核的调剂资产进行取消审核，取消成功，数据流转到“待审核”页面，状态为“XXX审核取消审核”如图1-3-10。</w:t>
      </w:r>
    </w:p>
    <w:p>
      <w:pPr>
        <w:jc w:val="both"/>
      </w:pPr>
      <w:r>
        <w:drawing>
          <wp:inline distT="0" distB="0" distL="114300" distR="114300">
            <wp:extent cx="5273675" cy="3189605"/>
            <wp:effectExtent l="0" t="0" r="3175" b="10795"/>
            <wp:docPr id="110"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32"/>
                    <pic:cNvPicPr>
                      <a:picLocks noChangeAspect="true"/>
                    </pic:cNvPicPr>
                  </pic:nvPicPr>
                  <pic:blipFill>
                    <a:blip r:embed="rId48"/>
                    <a:stretch>
                      <a:fillRect/>
                    </a:stretch>
                  </pic:blipFill>
                  <pic:spPr>
                    <a:xfrm>
                      <a:off x="0" y="0"/>
                      <a:ext cx="5273675" cy="3189605"/>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lang w:val="en-US" w:eastAsia="zh-CN"/>
        </w:rPr>
        <w:t>图1-3-10</w:t>
      </w:r>
    </w:p>
    <w:p>
      <w:pPr>
        <w:jc w:val="both"/>
        <w:rPr>
          <w:rFonts w:hint="default" w:ascii="宋体" w:hAnsi="宋体" w:eastAsia="宋体" w:cs="宋体"/>
          <w:sz w:val="24"/>
          <w:szCs w:val="24"/>
          <w:lang w:val="en-US" w:eastAsia="zh-CN"/>
        </w:rPr>
      </w:pPr>
    </w:p>
    <w:p>
      <w:pPr>
        <w:pageBreakBefore w:val="0"/>
        <w:widowControl w:val="0"/>
        <w:numPr>
          <w:ilvl w:val="0"/>
          <w:numId w:val="0"/>
        </w:numPr>
        <w:kinsoku/>
        <w:wordWrap/>
        <w:overflowPunct/>
        <w:topLinePunct w:val="0"/>
        <w:autoSpaceDE/>
        <w:autoSpaceDN/>
        <w:bidi w:val="0"/>
        <w:adjustRightInd/>
        <w:snapToGrid/>
        <w:spacing w:line="578" w:lineRule="atLeast"/>
        <w:ind w:left="840"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仿宋" w:hAnsi="仿宋" w:eastAsia="仿宋" w:cs="仿宋"/>
          <w:color w:val="FF0000"/>
          <w:sz w:val="32"/>
          <w:szCs w:val="32"/>
          <w:highlight w:val="none"/>
          <w:lang w:val="en-US" w:eastAsia="zh-CN"/>
        </w:rPr>
        <w:t>注：</w:t>
      </w:r>
    </w:p>
    <w:p>
      <w:pPr>
        <w:pageBreakBefore w:val="0"/>
        <w:widowControl w:val="0"/>
        <w:numPr>
          <w:ilvl w:val="0"/>
          <w:numId w:val="2"/>
        </w:numPr>
        <w:kinsoku/>
        <w:wordWrap/>
        <w:overflowPunct/>
        <w:topLinePunct w:val="0"/>
        <w:autoSpaceDE/>
        <w:autoSpaceDN/>
        <w:bidi w:val="0"/>
        <w:adjustRightInd/>
        <w:snapToGrid/>
        <w:spacing w:line="578" w:lineRule="atLeast"/>
        <w:ind w:left="830" w:leftChars="0" w:firstLine="640" w:firstLineChars="0"/>
        <w:jc w:val="left"/>
        <w:textAlignment w:val="auto"/>
        <w:rPr>
          <w:rFonts w:hint="default"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本地审核未终审的，都属于03-省内审核中；</w:t>
      </w:r>
    </w:p>
    <w:p>
      <w:pPr>
        <w:pageBreakBefore w:val="0"/>
        <w:widowControl w:val="0"/>
        <w:numPr>
          <w:ilvl w:val="0"/>
          <w:numId w:val="2"/>
        </w:numPr>
        <w:kinsoku/>
        <w:wordWrap/>
        <w:overflowPunct/>
        <w:topLinePunct w:val="0"/>
        <w:autoSpaceDE/>
        <w:autoSpaceDN/>
        <w:bidi w:val="0"/>
        <w:adjustRightInd/>
        <w:snapToGrid/>
        <w:spacing w:line="578" w:lineRule="atLeast"/>
        <w:ind w:left="830" w:leftChars="0" w:firstLine="640" w:firstLineChars="0"/>
        <w:jc w:val="left"/>
        <w:textAlignment w:val="auto"/>
        <w:rPr>
          <w:rFonts w:hint="default"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本地终审审核通过的，通过汇总系统进行数据上报，审核状态变更为“01-待财政部审核”，“财政部已审核”通过汇总系统下发后，审核状态变更为“02-财政部已审核”</w:t>
      </w:r>
    </w:p>
    <w:p>
      <w:pPr>
        <w:jc w:val="both"/>
        <w:rPr>
          <w:rFonts w:hint="eastAsia" w:ascii="宋体" w:hAnsi="宋体" w:eastAsia="宋体" w:cs="宋体"/>
          <w:sz w:val="24"/>
          <w:szCs w:val="24"/>
          <w:lang w:val="en-US" w:eastAsia="zh-CN"/>
        </w:rPr>
      </w:pPr>
    </w:p>
    <w:p>
      <w:pPr>
        <w:spacing w:line="240" w:lineRule="auto"/>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本地终审后，未上报汇总系统的则可以取消终审，如已上报汇总系统，则不能取消终审如图1-3-11，可去调剂资产管理界面做下架处理。</w:t>
      </w:r>
    </w:p>
    <w:p>
      <w:pPr>
        <w:jc w:val="both"/>
      </w:pPr>
      <w:r>
        <w:drawing>
          <wp:inline distT="0" distB="0" distL="114300" distR="114300">
            <wp:extent cx="5266055" cy="2988310"/>
            <wp:effectExtent l="0" t="0" r="10795" b="2540"/>
            <wp:docPr id="111"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33"/>
                    <pic:cNvPicPr>
                      <a:picLocks noChangeAspect="true"/>
                    </pic:cNvPicPr>
                  </pic:nvPicPr>
                  <pic:blipFill>
                    <a:blip r:embed="rId49"/>
                    <a:stretch>
                      <a:fillRect/>
                    </a:stretch>
                  </pic:blipFill>
                  <pic:spPr>
                    <a:xfrm>
                      <a:off x="0" y="0"/>
                      <a:ext cx="5266055" cy="2988310"/>
                    </a:xfrm>
                    <a:prstGeom prst="rect">
                      <a:avLst/>
                    </a:prstGeom>
                    <a:noFill/>
                    <a:ln>
                      <a:noFill/>
                    </a:ln>
                  </pic:spPr>
                </pic:pic>
              </a:graphicData>
            </a:graphic>
          </wp:inline>
        </w:drawing>
      </w:r>
    </w:p>
    <w:p>
      <w:pPr>
        <w:jc w:val="center"/>
        <w:outlineLvl w:val="9"/>
        <w:rPr>
          <w:rFonts w:hint="default"/>
          <w:lang w:val="en-US"/>
        </w:rPr>
      </w:pPr>
      <w:r>
        <w:rPr>
          <w:rFonts w:hint="eastAsia" w:ascii="宋体" w:hAnsi="宋体" w:eastAsia="宋体" w:cs="宋体"/>
          <w:sz w:val="24"/>
          <w:szCs w:val="24"/>
          <w:lang w:val="en-US" w:eastAsia="zh-CN"/>
        </w:rPr>
        <w:t>图1-3-11</w:t>
      </w: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56" w:name="_Toc31523"/>
      <w:bookmarkStart w:id="57" w:name="_Toc9748"/>
      <w:bookmarkStart w:id="58" w:name="_Toc27716"/>
      <w:bookmarkStart w:id="59" w:name="_Toc14920_WPSOffice_Level3"/>
      <w:r>
        <w:rPr>
          <w:rFonts w:hint="eastAsia" w:ascii="仿宋" w:hAnsi="仿宋" w:eastAsia="仿宋" w:cs="仿宋"/>
          <w:b/>
          <w:bCs/>
          <w:sz w:val="30"/>
          <w:szCs w:val="30"/>
          <w:lang w:val="en-US" w:eastAsia="zh-CN"/>
        </w:rPr>
        <w:t>3.调剂资产管理</w:t>
      </w:r>
      <w:bookmarkEnd w:id="56"/>
      <w:bookmarkEnd w:id="57"/>
      <w:bookmarkEnd w:id="58"/>
      <w:bookmarkEnd w:id="59"/>
    </w:p>
    <w:p>
      <w:pPr>
        <w:spacing w:line="240" w:lineRule="auto"/>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显示调剂资产发布终审的数据即调剂状态是上架，同时调剂广场也显示。</w:t>
      </w:r>
      <w:r>
        <w:rPr>
          <w:rFonts w:hint="eastAsia" w:ascii="仿宋" w:hAnsi="仿宋" w:eastAsia="仿宋" w:cs="仿宋"/>
          <w:kern w:val="2"/>
          <w:sz w:val="30"/>
          <w:szCs w:val="30"/>
          <w:lang w:val="zh-CN" w:eastAsia="zh-CN" w:bidi="ar-SA"/>
        </w:rPr>
        <w:t>具体操作：登录系统，进入【资产调剂共享】--&gt;【调剂资产】--&gt;【调剂资产管理】页面，</w:t>
      </w:r>
      <w:r>
        <w:rPr>
          <w:rFonts w:hint="eastAsia" w:ascii="仿宋" w:hAnsi="仿宋" w:eastAsia="仿宋" w:cs="仿宋"/>
          <w:sz w:val="30"/>
          <w:szCs w:val="30"/>
          <w:lang w:val="zh-CN" w:eastAsia="zh-CN"/>
        </w:rPr>
        <w:t>如图1-3-12。</w:t>
      </w:r>
    </w:p>
    <w:p>
      <w:pPr>
        <w:jc w:val="both"/>
      </w:pPr>
      <w:r>
        <w:drawing>
          <wp:inline distT="0" distB="0" distL="114300" distR="114300">
            <wp:extent cx="5272405" cy="3152140"/>
            <wp:effectExtent l="0" t="0" r="4445" b="10160"/>
            <wp:docPr id="42"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true"/>
                    </pic:cNvPicPr>
                  </pic:nvPicPr>
                  <pic:blipFill>
                    <a:blip r:embed="rId50"/>
                    <a:stretch>
                      <a:fillRect/>
                    </a:stretch>
                  </pic:blipFill>
                  <pic:spPr>
                    <a:xfrm>
                      <a:off x="0" y="0"/>
                      <a:ext cx="5272405" cy="3152140"/>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图1-3-12</w:t>
      </w:r>
    </w:p>
    <w:p>
      <w:pPr>
        <w:spacing w:line="240" w:lineRule="auto"/>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点击【下架】，即调剂资产发布后本单位因某种原因不调剂了，即可选择数据点击下架。如图1-3-13。</w:t>
      </w:r>
    </w:p>
    <w:p>
      <w:pPr>
        <w:jc w:val="both"/>
      </w:pPr>
      <w:r>
        <w:drawing>
          <wp:inline distT="0" distB="0" distL="114300" distR="114300">
            <wp:extent cx="5266055" cy="2961640"/>
            <wp:effectExtent l="0" t="0" r="10795" b="10160"/>
            <wp:docPr id="113"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35"/>
                    <pic:cNvPicPr>
                      <a:picLocks noChangeAspect="true"/>
                    </pic:cNvPicPr>
                  </pic:nvPicPr>
                  <pic:blipFill>
                    <a:blip r:embed="rId51"/>
                    <a:stretch>
                      <a:fillRect/>
                    </a:stretch>
                  </pic:blipFill>
                  <pic:spPr>
                    <a:xfrm>
                      <a:off x="0" y="0"/>
                      <a:ext cx="5266055" cy="2961640"/>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图1-3-13</w:t>
      </w:r>
    </w:p>
    <w:p>
      <w:pPr>
        <w:spacing w:line="240" w:lineRule="auto"/>
        <w:ind w:left="0" w:leftChars="0"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点击【登记调剂结果】，发布调剂资产单位和其他单位协商一致，要调剂资产给其他单位，发布调剂单位需要手动登记接收单位信息如图1-3-14，还需要去做资产处置，处置形式可以是无偿划转或者对外捐赠如图1-3-15。</w:t>
      </w:r>
    </w:p>
    <w:p>
      <w:pPr>
        <w:jc w:val="both"/>
      </w:pPr>
      <w:r>
        <w:drawing>
          <wp:inline distT="0" distB="0" distL="114300" distR="114300">
            <wp:extent cx="5266055" cy="3313430"/>
            <wp:effectExtent l="0" t="0" r="10795" b="1270"/>
            <wp:docPr id="114"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36"/>
                    <pic:cNvPicPr>
                      <a:picLocks noChangeAspect="true"/>
                    </pic:cNvPicPr>
                  </pic:nvPicPr>
                  <pic:blipFill>
                    <a:blip r:embed="rId52"/>
                    <a:stretch>
                      <a:fillRect/>
                    </a:stretch>
                  </pic:blipFill>
                  <pic:spPr>
                    <a:xfrm>
                      <a:off x="0" y="0"/>
                      <a:ext cx="5266055" cy="3313430"/>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图1-3-14</w:t>
      </w:r>
    </w:p>
    <w:p>
      <w:pPr>
        <w:jc w:val="both"/>
      </w:pPr>
      <w:r>
        <w:drawing>
          <wp:inline distT="0" distB="0" distL="114300" distR="114300">
            <wp:extent cx="5271135" cy="2698750"/>
            <wp:effectExtent l="0" t="0" r="5715" b="6350"/>
            <wp:docPr id="66"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true"/>
                    </pic:cNvPicPr>
                  </pic:nvPicPr>
                  <pic:blipFill>
                    <a:blip r:embed="rId53"/>
                    <a:stretch>
                      <a:fillRect/>
                    </a:stretch>
                  </pic:blipFill>
                  <pic:spPr>
                    <a:xfrm>
                      <a:off x="0" y="0"/>
                      <a:ext cx="5271135" cy="2698750"/>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图1-3-15</w:t>
      </w: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60" w:name="_Toc15155"/>
      <w:bookmarkStart w:id="61" w:name="_Toc24572"/>
      <w:bookmarkStart w:id="62" w:name="_Toc898"/>
      <w:bookmarkStart w:id="63" w:name="_Toc23780_WPSOffice_Level3"/>
      <w:r>
        <w:rPr>
          <w:rFonts w:hint="eastAsia" w:ascii="仿宋" w:hAnsi="仿宋" w:eastAsia="仿宋" w:cs="仿宋"/>
          <w:b/>
          <w:bCs/>
          <w:sz w:val="30"/>
          <w:szCs w:val="30"/>
          <w:lang w:val="en-US" w:eastAsia="zh-CN"/>
        </w:rPr>
        <w:t>4.调剂资产查询</w:t>
      </w:r>
      <w:bookmarkEnd w:id="60"/>
      <w:bookmarkEnd w:id="61"/>
      <w:bookmarkEnd w:id="62"/>
      <w:bookmarkEnd w:id="63"/>
    </w:p>
    <w:p>
      <w:pPr>
        <w:ind w:firstLine="600" w:firstLineChars="200"/>
        <w:jc w:val="both"/>
        <w:rPr>
          <w:rFonts w:hint="eastAsia" w:ascii="仿宋" w:hAnsi="仿宋" w:eastAsia="仿宋" w:cs="仿宋"/>
          <w:sz w:val="30"/>
          <w:szCs w:val="30"/>
          <w:lang w:val="zh-CN" w:eastAsia="zh-CN"/>
        </w:rPr>
      </w:pPr>
      <w:r>
        <w:rPr>
          <w:rFonts w:hint="eastAsia" w:ascii="仿宋" w:hAnsi="仿宋" w:eastAsia="仿宋" w:cs="仿宋"/>
          <w:sz w:val="30"/>
          <w:szCs w:val="30"/>
          <w:lang w:val="zh-CN" w:eastAsia="zh-CN"/>
        </w:rPr>
        <w:t>可查询发布的调剂资产信息如图1-3-16。</w:t>
      </w:r>
    </w:p>
    <w:p>
      <w:pPr>
        <w:jc w:val="both"/>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"C:\\Users\\吴应翔\\AppData\\Roaming\\LanxinSoftCustom\\Resource\\Pictures\\524288\\lanxin_20250529112114.png"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553075" cy="4505960"/>
            <wp:effectExtent l="0" t="0" r="9525" b="8890"/>
            <wp:docPr id="145" name="图片 1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12" descr="IMG_256"/>
                    <pic:cNvPicPr>
                      <a:picLocks noChangeAspect="true"/>
                    </pic:cNvPicPr>
                  </pic:nvPicPr>
                  <pic:blipFill>
                    <a:blip r:embed="rId54" r:link="rId55"/>
                    <a:stretch>
                      <a:fillRect/>
                    </a:stretch>
                  </pic:blipFill>
                  <pic:spPr>
                    <a:xfrm>
                      <a:off x="0" y="0"/>
                      <a:ext cx="5553075" cy="4505960"/>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图1-3-16</w:t>
      </w:r>
    </w:p>
    <w:p>
      <w:pPr>
        <w:jc w:val="both"/>
        <w:rPr>
          <w:rFonts w:hint="eastAsia" w:ascii="宋体" w:hAnsi="宋体" w:eastAsia="宋体" w:cs="宋体"/>
          <w:sz w:val="24"/>
          <w:szCs w:val="24"/>
          <w:lang w:val="en-US" w:eastAsia="zh-CN"/>
        </w:rPr>
      </w:pP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64" w:name="_Toc306"/>
      <w:bookmarkStart w:id="65" w:name="_Toc2789"/>
      <w:bookmarkStart w:id="66" w:name="_Toc4470"/>
      <w:bookmarkStart w:id="67" w:name="_Toc10315_WPSOffice_Level3"/>
      <w:r>
        <w:rPr>
          <w:rFonts w:hint="eastAsia" w:ascii="仿宋" w:hAnsi="仿宋" w:eastAsia="仿宋" w:cs="仿宋"/>
          <w:b/>
          <w:bCs/>
          <w:sz w:val="30"/>
          <w:szCs w:val="30"/>
          <w:lang w:val="en-US" w:eastAsia="zh-CN"/>
        </w:rPr>
        <w:t>5.调剂广场</w:t>
      </w:r>
      <w:bookmarkEnd w:id="64"/>
      <w:bookmarkEnd w:id="65"/>
      <w:bookmarkEnd w:id="66"/>
      <w:bookmarkEnd w:id="67"/>
    </w:p>
    <w:p>
      <w:pPr>
        <w:spacing w:line="240" w:lineRule="auto"/>
        <w:ind w:firstLine="600" w:firstLineChars="200"/>
        <w:rPr>
          <w:rFonts w:hint="eastAsia" w:ascii="仿宋" w:hAnsi="仿宋" w:eastAsia="仿宋" w:cs="仿宋"/>
          <w:spacing w:val="0"/>
          <w:sz w:val="30"/>
          <w:szCs w:val="30"/>
          <w:highlight w:val="none"/>
          <w:lang w:val="zh-CN"/>
        </w:rPr>
      </w:pPr>
      <w:r>
        <w:rPr>
          <w:rFonts w:hint="eastAsia" w:ascii="仿宋" w:hAnsi="仿宋" w:eastAsia="仿宋" w:cs="仿宋"/>
          <w:spacing w:val="0"/>
          <w:sz w:val="30"/>
          <w:szCs w:val="30"/>
          <w:highlight w:val="none"/>
          <w:lang w:val="zh-CN"/>
        </w:rPr>
        <w:t>可展示财政部已完成审核可全国调剂的资产信息，单位结合资产配置需求，可在调剂广场查找符合本单位使用需求的资产，通过线下沟通达成一致意见，按照资产处置办法办理调剂审批事项。</w:t>
      </w:r>
    </w:p>
    <w:p>
      <w:pPr>
        <w:spacing w:line="240" w:lineRule="auto"/>
        <w:ind w:firstLine="600" w:firstLineChars="200"/>
        <w:rPr>
          <w:spacing w:val="8"/>
          <w:sz w:val="30"/>
          <w:szCs w:val="30"/>
          <w:highlight w:val="none"/>
        </w:rPr>
      </w:pPr>
      <w:r>
        <w:rPr>
          <w:rFonts w:hint="eastAsia" w:ascii="仿宋" w:hAnsi="仿宋" w:eastAsia="仿宋" w:cs="仿宋"/>
          <w:kern w:val="2"/>
          <w:sz w:val="30"/>
          <w:szCs w:val="30"/>
          <w:lang w:val="zh-CN" w:eastAsia="zh-CN" w:bidi="ar-SA"/>
        </w:rPr>
        <w:t>具体操作：登录系统，进入【资产调剂共享】--&gt;【调剂广场】页面。“本地区”显示的是本地区审核终审的可调剂资产，通过接收财政部已审核后更新“调剂共享审核状态”，后续登记调剂结果也进行相应更新（如调剂接收方的信息）如图1-4-1，“全国”显示的是通过接收财政部已审核的可调剂资产，包括本地区调剂共享全国的调剂资产如图1-4-2。调剂资产默认图片呈现数据，图示显示信息：资产名称、财政区划、资产照片、资产编号、调剂状态、资产数量或面积、所属单位。</w:t>
      </w:r>
    </w:p>
    <w:p>
      <w:pPr>
        <w:spacing w:line="360" w:lineRule="auto"/>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"C:\\Users\\吴应翔\\AppData\\Roaming\\LanxinSoftCustom\\Resource\\Pictures\\524288\\lanxin_20250529112613.png"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334000" cy="2982595"/>
            <wp:effectExtent l="0" t="0" r="0" b="8255"/>
            <wp:docPr id="151" name="图片 1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13" descr="IMG_256"/>
                    <pic:cNvPicPr>
                      <a:picLocks noChangeAspect="true"/>
                    </pic:cNvPicPr>
                  </pic:nvPicPr>
                  <pic:blipFill>
                    <a:blip r:embed="rId56" r:link="rId57"/>
                    <a:stretch>
                      <a:fillRect/>
                    </a:stretch>
                  </pic:blipFill>
                  <pic:spPr>
                    <a:xfrm>
                      <a:off x="0" y="0"/>
                      <a:ext cx="5334000" cy="2982595"/>
                    </a:xfrm>
                    <a:prstGeom prst="rect">
                      <a:avLst/>
                    </a:prstGeom>
                    <a:noFill/>
                    <a:ln w="9525">
                      <a:noFill/>
                      <a:miter/>
                    </a:ln>
                  </pic:spPr>
                </pic:pic>
              </a:graphicData>
            </a:graphic>
          </wp:inline>
        </w:drawing>
      </w:r>
      <w:r>
        <w:rPr>
          <w:rFonts w:ascii="宋体" w:hAnsi="宋体" w:eastAsia="宋体" w:cs="宋体"/>
          <w:sz w:val="24"/>
          <w:szCs w:val="24"/>
        </w:rPr>
        <w:fldChar w:fldCharType="end"/>
      </w:r>
    </w:p>
    <w:p>
      <w:pPr>
        <w:spacing w:line="360" w:lineRule="auto"/>
        <w:jc w:val="center"/>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图1-4-1</w:t>
      </w:r>
    </w:p>
    <w:p>
      <w:pPr>
        <w:spacing w:line="360" w:lineRule="auto"/>
        <w:jc w:val="both"/>
      </w:pPr>
      <w:r>
        <w:drawing>
          <wp:inline distT="0" distB="0" distL="114300" distR="114300">
            <wp:extent cx="5273675" cy="4021455"/>
            <wp:effectExtent l="0" t="0" r="3175" b="17145"/>
            <wp:docPr id="118"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39"/>
                    <pic:cNvPicPr>
                      <a:picLocks noChangeAspect="true"/>
                    </pic:cNvPicPr>
                  </pic:nvPicPr>
                  <pic:blipFill>
                    <a:blip r:embed="rId58"/>
                    <a:stretch>
                      <a:fillRect/>
                    </a:stretch>
                  </pic:blipFill>
                  <pic:spPr>
                    <a:xfrm>
                      <a:off x="0" y="0"/>
                      <a:ext cx="5273675" cy="4021455"/>
                    </a:xfrm>
                    <a:prstGeom prst="rect">
                      <a:avLst/>
                    </a:prstGeom>
                    <a:noFill/>
                    <a:ln>
                      <a:noFill/>
                    </a:ln>
                  </pic:spPr>
                </pic:pic>
              </a:graphicData>
            </a:graphic>
          </wp:inline>
        </w:drawing>
      </w:r>
    </w:p>
    <w:p>
      <w:pPr>
        <w:spacing w:line="360" w:lineRule="auto"/>
        <w:jc w:val="center"/>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图1-4-2</w:t>
      </w:r>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点击列表“资产照片”，点击支持放大图片查看。如图</w:t>
      </w:r>
      <w:r>
        <w:rPr>
          <w:rFonts w:hint="eastAsia" w:ascii="仿宋" w:hAnsi="仿宋" w:eastAsia="仿宋" w:cs="仿宋"/>
          <w:kern w:val="2"/>
          <w:sz w:val="30"/>
          <w:szCs w:val="30"/>
          <w:lang w:val="en-US" w:eastAsia="zh-CN" w:bidi="ar-SA"/>
        </w:rPr>
        <w:t>1-4-3</w:t>
      </w:r>
      <w:r>
        <w:rPr>
          <w:rFonts w:hint="eastAsia" w:ascii="仿宋" w:hAnsi="仿宋" w:eastAsia="仿宋" w:cs="仿宋"/>
          <w:sz w:val="30"/>
          <w:szCs w:val="30"/>
          <w:lang w:val="en-US" w:eastAsia="zh-CN"/>
        </w:rPr>
        <w:t>。</w:t>
      </w:r>
    </w:p>
    <w:p>
      <w:pPr>
        <w:spacing w:line="360" w:lineRule="auto"/>
        <w:jc w:val="both"/>
      </w:pPr>
      <w:r>
        <w:drawing>
          <wp:inline distT="0" distB="0" distL="114300" distR="114300">
            <wp:extent cx="5264150" cy="2058670"/>
            <wp:effectExtent l="0" t="0" r="12700" b="17780"/>
            <wp:docPr id="119"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40"/>
                    <pic:cNvPicPr>
                      <a:picLocks noChangeAspect="true"/>
                    </pic:cNvPicPr>
                  </pic:nvPicPr>
                  <pic:blipFill>
                    <a:blip r:embed="rId59"/>
                    <a:stretch>
                      <a:fillRect/>
                    </a:stretch>
                  </pic:blipFill>
                  <pic:spPr>
                    <a:xfrm>
                      <a:off x="0" y="0"/>
                      <a:ext cx="5264150" cy="2058670"/>
                    </a:xfrm>
                    <a:prstGeom prst="rect">
                      <a:avLst/>
                    </a:prstGeom>
                    <a:noFill/>
                    <a:ln>
                      <a:noFill/>
                    </a:ln>
                  </pic:spPr>
                </pic:pic>
              </a:graphicData>
            </a:graphic>
          </wp:inline>
        </w:drawing>
      </w:r>
    </w:p>
    <w:p>
      <w:pPr>
        <w:spacing w:line="360" w:lineRule="auto"/>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eastAsia" w:ascii="宋体" w:hAnsi="宋体" w:eastAsia="宋体" w:cs="宋体"/>
          <w:kern w:val="2"/>
          <w:sz w:val="24"/>
          <w:szCs w:val="24"/>
          <w:lang w:val="en-US" w:eastAsia="zh-CN" w:bidi="ar-SA"/>
        </w:rPr>
        <w:t>1-4-3</w:t>
      </w:r>
    </w:p>
    <w:p>
      <w:pPr>
        <w:spacing w:line="360" w:lineRule="auto"/>
        <w:ind w:firstLine="600" w:firstLineChars="200"/>
        <w:jc w:val="both"/>
        <w:rPr>
          <w:rFonts w:hint="eastAsia" w:ascii="仿宋" w:hAnsi="仿宋" w:eastAsia="仿宋" w:cs="仿宋"/>
          <w:sz w:val="30"/>
          <w:szCs w:val="30"/>
          <w:lang w:eastAsia="zh-CN"/>
        </w:rPr>
      </w:pPr>
      <w:r>
        <w:rPr>
          <w:rFonts w:hint="eastAsia" w:ascii="仿宋" w:hAnsi="仿宋" w:eastAsia="仿宋" w:cs="仿宋"/>
          <w:sz w:val="30"/>
          <w:szCs w:val="30"/>
          <w:lang w:val="en-US" w:eastAsia="zh-CN"/>
        </w:rPr>
        <w:t>点击【加入预选资产】，选择（可多选）未加入预选的资产数据，对调剂广场资产进行标记，即可加入【我的预选资产</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如图</w:t>
      </w:r>
      <w:r>
        <w:rPr>
          <w:rFonts w:hint="eastAsia" w:ascii="仿宋" w:hAnsi="仿宋" w:eastAsia="仿宋" w:cs="仿宋"/>
          <w:kern w:val="2"/>
          <w:sz w:val="30"/>
          <w:szCs w:val="30"/>
          <w:lang w:val="en-US" w:eastAsia="zh-CN" w:bidi="ar-SA"/>
        </w:rPr>
        <w:t>1-4-4</w:t>
      </w:r>
      <w:r>
        <w:rPr>
          <w:rFonts w:hint="eastAsia" w:ascii="仿宋" w:hAnsi="仿宋" w:eastAsia="仿宋" w:cs="仿宋"/>
          <w:sz w:val="30"/>
          <w:szCs w:val="30"/>
          <w:lang w:val="en-US" w:eastAsia="zh-CN"/>
        </w:rPr>
        <w:t>，已加入我的预选资产，再次选择加入会提示“已加入预选资产，请重新选择”如图1-4-5。</w:t>
      </w:r>
    </w:p>
    <w:p>
      <w:pPr>
        <w:spacing w:line="360" w:lineRule="auto"/>
        <w:jc w:val="both"/>
      </w:pPr>
      <w:r>
        <w:drawing>
          <wp:inline distT="0" distB="0" distL="114300" distR="114300">
            <wp:extent cx="5270500" cy="3683635"/>
            <wp:effectExtent l="0" t="0" r="6350" b="12065"/>
            <wp:docPr id="120"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41"/>
                    <pic:cNvPicPr>
                      <a:picLocks noChangeAspect="true"/>
                    </pic:cNvPicPr>
                  </pic:nvPicPr>
                  <pic:blipFill>
                    <a:blip r:embed="rId60"/>
                    <a:stretch>
                      <a:fillRect/>
                    </a:stretch>
                  </pic:blipFill>
                  <pic:spPr>
                    <a:xfrm>
                      <a:off x="0" y="0"/>
                      <a:ext cx="5270500" cy="3683635"/>
                    </a:xfrm>
                    <a:prstGeom prst="rect">
                      <a:avLst/>
                    </a:prstGeom>
                    <a:noFill/>
                    <a:ln>
                      <a:noFill/>
                    </a:ln>
                  </pic:spPr>
                </pic:pic>
              </a:graphicData>
            </a:graphic>
          </wp:inline>
        </w:drawing>
      </w:r>
    </w:p>
    <w:p>
      <w:pPr>
        <w:spacing w:line="360" w:lineRule="auto"/>
        <w:jc w:val="both"/>
      </w:pPr>
    </w:p>
    <w:p>
      <w:pPr>
        <w:spacing w:line="360" w:lineRule="auto"/>
        <w:jc w:val="both"/>
      </w:pPr>
      <w:r>
        <w:drawing>
          <wp:inline distT="0" distB="0" distL="114300" distR="114300">
            <wp:extent cx="5271135" cy="3574415"/>
            <wp:effectExtent l="0" t="0" r="5715" b="6985"/>
            <wp:docPr id="49"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true"/>
                    </pic:cNvPicPr>
                  </pic:nvPicPr>
                  <pic:blipFill>
                    <a:blip r:embed="rId61"/>
                    <a:stretch>
                      <a:fillRect/>
                    </a:stretch>
                  </pic:blipFill>
                  <pic:spPr>
                    <a:xfrm>
                      <a:off x="0" y="0"/>
                      <a:ext cx="5271135" cy="3574415"/>
                    </a:xfrm>
                    <a:prstGeom prst="rect">
                      <a:avLst/>
                    </a:prstGeom>
                    <a:noFill/>
                    <a:ln>
                      <a:noFill/>
                    </a:ln>
                  </pic:spPr>
                </pic:pic>
              </a:graphicData>
            </a:graphic>
          </wp:inline>
        </w:drawing>
      </w:r>
    </w:p>
    <w:p>
      <w:pPr>
        <w:spacing w:line="360" w:lineRule="auto"/>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eastAsia" w:ascii="宋体" w:hAnsi="宋体" w:eastAsia="宋体" w:cs="宋体"/>
          <w:kern w:val="2"/>
          <w:sz w:val="24"/>
          <w:szCs w:val="24"/>
          <w:lang w:val="en-US" w:eastAsia="zh-CN" w:bidi="ar-SA"/>
        </w:rPr>
        <w:t>1-4-4</w:t>
      </w:r>
    </w:p>
    <w:p>
      <w:pPr>
        <w:spacing w:line="360" w:lineRule="auto"/>
        <w:jc w:val="both"/>
      </w:pPr>
      <w:r>
        <w:drawing>
          <wp:inline distT="0" distB="0" distL="114300" distR="114300">
            <wp:extent cx="5269230" cy="3876675"/>
            <wp:effectExtent l="0" t="0" r="7620" b="9525"/>
            <wp:docPr id="121"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42"/>
                    <pic:cNvPicPr>
                      <a:picLocks noChangeAspect="true"/>
                    </pic:cNvPicPr>
                  </pic:nvPicPr>
                  <pic:blipFill>
                    <a:blip r:embed="rId62"/>
                    <a:stretch>
                      <a:fillRect/>
                    </a:stretch>
                  </pic:blipFill>
                  <pic:spPr>
                    <a:xfrm>
                      <a:off x="0" y="0"/>
                      <a:ext cx="5269230" cy="3876675"/>
                    </a:xfrm>
                    <a:prstGeom prst="rect">
                      <a:avLst/>
                    </a:prstGeom>
                    <a:noFill/>
                    <a:ln>
                      <a:noFill/>
                    </a:ln>
                  </pic:spPr>
                </pic:pic>
              </a:graphicData>
            </a:graphic>
          </wp:inline>
        </w:drawing>
      </w:r>
    </w:p>
    <w:p>
      <w:pPr>
        <w:spacing w:line="360" w:lineRule="auto"/>
        <w:jc w:val="center"/>
        <w:outlineLvl w:val="9"/>
        <w:rPr>
          <w:rFonts w:hint="eastAsia"/>
          <w:lang w:val="en-US" w:eastAsia="zh-CN"/>
        </w:rPr>
      </w:pPr>
      <w:r>
        <w:rPr>
          <w:rFonts w:hint="eastAsia" w:ascii="宋体" w:hAnsi="宋体" w:eastAsia="宋体" w:cs="宋体"/>
          <w:sz w:val="24"/>
          <w:szCs w:val="24"/>
          <w:lang w:val="en-US" w:eastAsia="zh-CN"/>
        </w:rPr>
        <w:t>图</w:t>
      </w:r>
      <w:r>
        <w:rPr>
          <w:rFonts w:hint="eastAsia" w:ascii="宋体" w:hAnsi="宋体" w:eastAsia="宋体" w:cs="宋体"/>
          <w:kern w:val="2"/>
          <w:sz w:val="24"/>
          <w:szCs w:val="24"/>
          <w:lang w:val="en-US" w:eastAsia="zh-CN" w:bidi="ar-SA"/>
        </w:rPr>
        <w:t>1-4-5</w:t>
      </w:r>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点击【我的预选资产】可查看加入的预选资产，也可取消已加入的预选资产如图</w:t>
      </w:r>
      <w:r>
        <w:rPr>
          <w:rFonts w:hint="eastAsia" w:ascii="仿宋" w:hAnsi="仿宋" w:eastAsia="仿宋" w:cs="仿宋"/>
          <w:kern w:val="2"/>
          <w:sz w:val="30"/>
          <w:szCs w:val="30"/>
          <w:lang w:val="en-US" w:eastAsia="zh-CN" w:bidi="ar-SA"/>
        </w:rPr>
        <w:t>1-4-6</w:t>
      </w:r>
      <w:r>
        <w:rPr>
          <w:rFonts w:hint="eastAsia" w:ascii="仿宋" w:hAnsi="仿宋" w:eastAsia="仿宋" w:cs="仿宋"/>
          <w:sz w:val="30"/>
          <w:szCs w:val="30"/>
          <w:lang w:val="en-US" w:eastAsia="zh-CN"/>
        </w:rPr>
        <w:t>。</w:t>
      </w:r>
    </w:p>
    <w:p>
      <w:pPr>
        <w:spacing w:line="360" w:lineRule="auto"/>
        <w:jc w:val="both"/>
      </w:pPr>
      <w:r>
        <w:drawing>
          <wp:inline distT="0" distB="0" distL="114300" distR="114300">
            <wp:extent cx="5269865" cy="3321050"/>
            <wp:effectExtent l="0" t="0" r="6985" b="12700"/>
            <wp:docPr id="122"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43"/>
                    <pic:cNvPicPr>
                      <a:picLocks noChangeAspect="true"/>
                    </pic:cNvPicPr>
                  </pic:nvPicPr>
                  <pic:blipFill>
                    <a:blip r:embed="rId63"/>
                    <a:stretch>
                      <a:fillRect/>
                    </a:stretch>
                  </pic:blipFill>
                  <pic:spPr>
                    <a:xfrm>
                      <a:off x="0" y="0"/>
                      <a:ext cx="5269865" cy="3321050"/>
                    </a:xfrm>
                    <a:prstGeom prst="rect">
                      <a:avLst/>
                    </a:prstGeom>
                    <a:noFill/>
                    <a:ln>
                      <a:noFill/>
                    </a:ln>
                  </pic:spPr>
                </pic:pic>
              </a:graphicData>
            </a:graphic>
          </wp:inline>
        </w:drawing>
      </w:r>
    </w:p>
    <w:p>
      <w:pPr>
        <w:spacing w:line="360" w:lineRule="auto"/>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eastAsia" w:ascii="宋体" w:hAnsi="宋体" w:eastAsia="宋体" w:cs="宋体"/>
          <w:kern w:val="2"/>
          <w:sz w:val="24"/>
          <w:szCs w:val="24"/>
          <w:lang w:val="en-US" w:eastAsia="zh-CN" w:bidi="ar-SA"/>
        </w:rPr>
        <w:t>1-4-6</w:t>
      </w:r>
    </w:p>
    <w:p>
      <w:pPr>
        <w:spacing w:line="360" w:lineRule="auto"/>
        <w:ind w:firstLine="600" w:firstLineChars="200"/>
        <w:jc w:val="both"/>
        <w:rPr>
          <w:rFonts w:hint="eastAsia" w:ascii="宋体" w:hAnsi="宋体" w:eastAsia="宋体" w:cs="宋体"/>
          <w:sz w:val="24"/>
          <w:szCs w:val="24"/>
          <w:lang w:val="en-US" w:eastAsia="zh-CN"/>
        </w:rPr>
      </w:pPr>
      <w:r>
        <w:rPr>
          <w:rFonts w:hint="eastAsia" w:ascii="仿宋" w:hAnsi="仿宋" w:eastAsia="仿宋" w:cs="仿宋"/>
          <w:sz w:val="30"/>
          <w:szCs w:val="30"/>
          <w:lang w:val="en-US" w:eastAsia="zh-CN"/>
        </w:rPr>
        <w:t>点击【查看详情】，即弹出资产详情界面，依次列示调剂送审方信息、调剂接收方信息、卡片详情、附件列表如图</w:t>
      </w:r>
      <w:r>
        <w:rPr>
          <w:rFonts w:hint="eastAsia" w:ascii="仿宋" w:hAnsi="仿宋" w:eastAsia="仿宋" w:cs="仿宋"/>
          <w:kern w:val="2"/>
          <w:sz w:val="30"/>
          <w:szCs w:val="30"/>
          <w:lang w:val="en-US" w:eastAsia="zh-CN" w:bidi="ar-SA"/>
        </w:rPr>
        <w:t>1-4-7</w:t>
      </w:r>
      <w:r>
        <w:rPr>
          <w:rFonts w:hint="eastAsia" w:ascii="仿宋" w:hAnsi="仿宋" w:eastAsia="仿宋" w:cs="仿宋"/>
          <w:sz w:val="30"/>
          <w:szCs w:val="30"/>
          <w:lang w:val="en-US" w:eastAsia="zh-CN"/>
        </w:rPr>
        <w:t>。</w:t>
      </w:r>
    </w:p>
    <w:p>
      <w:pPr>
        <w:spacing w:line="360" w:lineRule="auto"/>
        <w:jc w:val="both"/>
      </w:pPr>
      <w:r>
        <w:drawing>
          <wp:inline distT="0" distB="0" distL="114300" distR="114300">
            <wp:extent cx="5266055" cy="3175000"/>
            <wp:effectExtent l="0" t="0" r="10795" b="6350"/>
            <wp:docPr id="123"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44"/>
                    <pic:cNvPicPr>
                      <a:picLocks noChangeAspect="true"/>
                    </pic:cNvPicPr>
                  </pic:nvPicPr>
                  <pic:blipFill>
                    <a:blip r:embed="rId64"/>
                    <a:stretch>
                      <a:fillRect/>
                    </a:stretch>
                  </pic:blipFill>
                  <pic:spPr>
                    <a:xfrm>
                      <a:off x="0" y="0"/>
                      <a:ext cx="5266055" cy="3175000"/>
                    </a:xfrm>
                    <a:prstGeom prst="rect">
                      <a:avLst/>
                    </a:prstGeom>
                    <a:noFill/>
                    <a:ln>
                      <a:noFill/>
                    </a:ln>
                  </pic:spPr>
                </pic:pic>
              </a:graphicData>
            </a:graphic>
          </wp:inline>
        </w:drawing>
      </w:r>
    </w:p>
    <w:p>
      <w:pPr>
        <w:spacing w:line="360" w:lineRule="auto"/>
        <w:jc w:val="center"/>
        <w:outlineLvl w:val="9"/>
        <w:rPr>
          <w:rFonts w:hint="default"/>
          <w:lang w:val="en-US" w:eastAsia="zh-CN"/>
        </w:rPr>
      </w:pPr>
      <w:r>
        <w:rPr>
          <w:rFonts w:hint="eastAsia" w:ascii="宋体" w:hAnsi="宋体" w:eastAsia="宋体" w:cs="宋体"/>
          <w:sz w:val="24"/>
          <w:szCs w:val="24"/>
          <w:lang w:val="en-US" w:eastAsia="zh-CN"/>
        </w:rPr>
        <w:t>如图</w:t>
      </w:r>
      <w:r>
        <w:rPr>
          <w:rFonts w:hint="eastAsia" w:ascii="宋体" w:hAnsi="宋体" w:eastAsia="宋体" w:cs="宋体"/>
          <w:kern w:val="2"/>
          <w:sz w:val="24"/>
          <w:szCs w:val="24"/>
          <w:lang w:val="en-US" w:eastAsia="zh-CN" w:bidi="ar-SA"/>
        </w:rPr>
        <w:t>1-4-7</w:t>
      </w:r>
    </w:p>
    <w:p>
      <w:pPr>
        <w:spacing w:line="400" w:lineRule="exact"/>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点击【切换成列表/图示】可由图示如图1-4-8切换成列表如图1-4-9。</w:t>
      </w:r>
    </w:p>
    <w:p>
      <w:pPr>
        <w:spacing w:line="360" w:lineRule="auto"/>
        <w:jc w:val="both"/>
      </w:pPr>
      <w:r>
        <w:drawing>
          <wp:inline distT="0" distB="0" distL="114300" distR="114300">
            <wp:extent cx="5271135" cy="3447415"/>
            <wp:effectExtent l="0" t="0" r="5715" b="635"/>
            <wp:docPr id="124"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45"/>
                    <pic:cNvPicPr>
                      <a:picLocks noChangeAspect="true"/>
                    </pic:cNvPicPr>
                  </pic:nvPicPr>
                  <pic:blipFill>
                    <a:blip r:embed="rId65"/>
                    <a:stretch>
                      <a:fillRect/>
                    </a:stretch>
                  </pic:blipFill>
                  <pic:spPr>
                    <a:xfrm>
                      <a:off x="0" y="0"/>
                      <a:ext cx="5271135" cy="3447415"/>
                    </a:xfrm>
                    <a:prstGeom prst="rect">
                      <a:avLst/>
                    </a:prstGeom>
                    <a:noFill/>
                    <a:ln>
                      <a:noFill/>
                    </a:ln>
                  </pic:spPr>
                </pic:pic>
              </a:graphicData>
            </a:graphic>
          </wp:inline>
        </w:drawing>
      </w:r>
    </w:p>
    <w:p>
      <w:pPr>
        <w:spacing w:line="360" w:lineRule="auto"/>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图1-4-8</w:t>
      </w:r>
    </w:p>
    <w:p>
      <w:pPr>
        <w:spacing w:line="360" w:lineRule="auto"/>
        <w:jc w:val="both"/>
      </w:pPr>
      <w:r>
        <w:drawing>
          <wp:inline distT="0" distB="0" distL="114300" distR="114300">
            <wp:extent cx="5271770" cy="3373120"/>
            <wp:effectExtent l="0" t="0" r="5080" b="17780"/>
            <wp:docPr id="125"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46"/>
                    <pic:cNvPicPr>
                      <a:picLocks noChangeAspect="true"/>
                    </pic:cNvPicPr>
                  </pic:nvPicPr>
                  <pic:blipFill>
                    <a:blip r:embed="rId66"/>
                    <a:stretch>
                      <a:fillRect/>
                    </a:stretch>
                  </pic:blipFill>
                  <pic:spPr>
                    <a:xfrm>
                      <a:off x="0" y="0"/>
                      <a:ext cx="5271770" cy="3373120"/>
                    </a:xfrm>
                    <a:prstGeom prst="rect">
                      <a:avLst/>
                    </a:prstGeom>
                    <a:noFill/>
                    <a:ln>
                      <a:noFill/>
                    </a:ln>
                  </pic:spPr>
                </pic:pic>
              </a:graphicData>
            </a:graphic>
          </wp:inline>
        </w:drawing>
      </w:r>
    </w:p>
    <w:p>
      <w:pPr>
        <w:spacing w:line="360" w:lineRule="auto"/>
        <w:jc w:val="center"/>
        <w:outlineLvl w:val="9"/>
        <w:rPr>
          <w:rFonts w:hint="default"/>
          <w:lang w:val="en-US" w:eastAsia="zh-CN"/>
        </w:rPr>
      </w:pPr>
      <w:r>
        <w:rPr>
          <w:rFonts w:hint="eastAsia" w:ascii="宋体" w:hAnsi="宋体" w:eastAsia="宋体" w:cs="宋体"/>
          <w:sz w:val="24"/>
          <w:szCs w:val="24"/>
          <w:lang w:val="en-US" w:eastAsia="zh-CN"/>
        </w:rPr>
        <w:t>图1-4-9</w:t>
      </w:r>
    </w:p>
    <w:p>
      <w:pPr>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点击【导出】，切换成列表再导出，就能导出选中的数据资产信息，如图1-4-10。</w:t>
      </w:r>
    </w:p>
    <w:p>
      <w:pPr>
        <w:spacing w:line="360" w:lineRule="auto"/>
        <w:jc w:val="both"/>
      </w:pPr>
      <w:r>
        <w:drawing>
          <wp:inline distT="0" distB="0" distL="114300" distR="114300">
            <wp:extent cx="5274310" cy="3679190"/>
            <wp:effectExtent l="0" t="0" r="2540" b="16510"/>
            <wp:docPr id="126"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47"/>
                    <pic:cNvPicPr>
                      <a:picLocks noChangeAspect="true"/>
                    </pic:cNvPicPr>
                  </pic:nvPicPr>
                  <pic:blipFill>
                    <a:blip r:embed="rId67"/>
                    <a:stretch>
                      <a:fillRect/>
                    </a:stretch>
                  </pic:blipFill>
                  <pic:spPr>
                    <a:xfrm>
                      <a:off x="0" y="0"/>
                      <a:ext cx="5274310" cy="3679190"/>
                    </a:xfrm>
                    <a:prstGeom prst="rect">
                      <a:avLst/>
                    </a:prstGeom>
                    <a:noFill/>
                    <a:ln>
                      <a:noFill/>
                    </a:ln>
                  </pic:spPr>
                </pic:pic>
              </a:graphicData>
            </a:graphic>
          </wp:inline>
        </w:drawing>
      </w:r>
    </w:p>
    <w:p>
      <w:pPr>
        <w:spacing w:line="360" w:lineRule="auto"/>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图1-4-10</w:t>
      </w:r>
    </w:p>
    <w:p>
      <w:pPr>
        <w:bidi w:val="0"/>
        <w:spacing w:line="360" w:lineRule="auto"/>
        <w:ind w:firstLine="600" w:firstLineChars="200"/>
        <w:outlineLvl w:val="1"/>
        <w:rPr>
          <w:rFonts w:hint="eastAsia" w:ascii="楷体" w:hAnsi="楷体" w:eastAsia="楷体" w:cs="楷体"/>
          <w:b w:val="0"/>
          <w:bCs w:val="0"/>
          <w:sz w:val="30"/>
          <w:szCs w:val="30"/>
          <w:lang w:val="en-US" w:eastAsia="zh-CN"/>
        </w:rPr>
      </w:pPr>
      <w:bookmarkStart w:id="68" w:name="_Toc25384_WPSOffice_Level2"/>
      <w:bookmarkStart w:id="69" w:name="_Toc26620"/>
      <w:bookmarkStart w:id="70" w:name="_Toc8105"/>
      <w:bookmarkStart w:id="71" w:name="_Toc14502"/>
      <w:r>
        <w:rPr>
          <w:rFonts w:hint="eastAsia" w:ascii="楷体" w:hAnsi="楷体" w:eastAsia="楷体" w:cs="楷体"/>
          <w:b w:val="0"/>
          <w:bCs w:val="0"/>
          <w:sz w:val="30"/>
          <w:szCs w:val="30"/>
          <w:lang w:val="en-US" w:eastAsia="zh-CN"/>
        </w:rPr>
        <w:t>（三）调剂共享</w:t>
      </w:r>
      <w:bookmarkEnd w:id="68"/>
      <w:r>
        <w:rPr>
          <w:rFonts w:hint="eastAsia" w:ascii="楷体" w:hAnsi="楷体" w:eastAsia="楷体" w:cs="楷体"/>
          <w:b w:val="0"/>
          <w:bCs w:val="0"/>
          <w:sz w:val="30"/>
          <w:szCs w:val="30"/>
          <w:lang w:val="en-US" w:eastAsia="zh-CN"/>
        </w:rPr>
        <w:t>需求</w:t>
      </w:r>
      <w:bookmarkEnd w:id="69"/>
      <w:bookmarkEnd w:id="70"/>
      <w:bookmarkEnd w:id="71"/>
    </w:p>
    <w:p>
      <w:pPr>
        <w:spacing w:line="360" w:lineRule="auto"/>
        <w:ind w:firstLine="600" w:firstLineChars="200"/>
        <w:rPr>
          <w:rFonts w:hint="eastAsia" w:ascii="仿宋" w:hAnsi="仿宋" w:eastAsia="仿宋" w:cs="仿宋"/>
          <w:spacing w:val="0"/>
          <w:sz w:val="30"/>
          <w:szCs w:val="30"/>
          <w:highlight w:val="none"/>
        </w:rPr>
      </w:pPr>
      <w:r>
        <w:rPr>
          <w:rFonts w:hint="eastAsia" w:ascii="仿宋" w:hAnsi="仿宋" w:eastAsia="仿宋" w:cs="仿宋"/>
          <w:spacing w:val="0"/>
          <w:sz w:val="30"/>
          <w:szCs w:val="30"/>
          <w:highlight w:val="none"/>
        </w:rPr>
        <w:t>单位结合资产配置需求，可发布及管理本单位的资产调剂共享需求。</w:t>
      </w:r>
    </w:p>
    <w:p>
      <w:pPr>
        <w:numPr>
          <w:ilvl w:val="0"/>
          <w:numId w:val="0"/>
        </w:numPr>
        <w:bidi w:val="0"/>
        <w:ind w:firstLine="602" w:firstLineChars="200"/>
        <w:outlineLvl w:val="9"/>
        <w:rPr>
          <w:rFonts w:hint="eastAsia" w:ascii="仿宋" w:hAnsi="仿宋" w:eastAsia="仿宋" w:cs="仿宋"/>
          <w:b/>
          <w:bCs/>
          <w:sz w:val="30"/>
          <w:szCs w:val="30"/>
          <w:lang w:val="en-US" w:eastAsia="zh-CN"/>
        </w:rPr>
      </w:pPr>
      <w:bookmarkStart w:id="72" w:name="_Toc2580_WPSOffice_Level3"/>
      <w:bookmarkStart w:id="73" w:name="_Toc19026"/>
      <w:bookmarkStart w:id="74" w:name="_Toc10295"/>
      <w:bookmarkStart w:id="75" w:name="_Toc22401"/>
      <w:r>
        <w:rPr>
          <w:rFonts w:hint="eastAsia" w:ascii="仿宋" w:hAnsi="仿宋" w:eastAsia="仿宋" w:cs="仿宋"/>
          <w:b/>
          <w:bCs/>
          <w:sz w:val="30"/>
          <w:szCs w:val="30"/>
          <w:lang w:val="en-US" w:eastAsia="zh-CN"/>
        </w:rPr>
        <w:t>1.我的需求</w:t>
      </w:r>
      <w:bookmarkEnd w:id="72"/>
      <w:r>
        <w:rPr>
          <w:rFonts w:hint="eastAsia" w:ascii="仿宋" w:hAnsi="仿宋" w:eastAsia="仿宋" w:cs="仿宋"/>
          <w:b/>
          <w:bCs/>
          <w:sz w:val="30"/>
          <w:szCs w:val="30"/>
          <w:lang w:val="en-US" w:eastAsia="zh-CN"/>
        </w:rPr>
        <w:t>发布</w:t>
      </w:r>
      <w:bookmarkEnd w:id="73"/>
      <w:bookmarkEnd w:id="74"/>
      <w:bookmarkEnd w:id="75"/>
    </w:p>
    <w:p>
      <w:pPr>
        <w:spacing w:line="240" w:lineRule="auto"/>
        <w:ind w:firstLine="600" w:firstLineChars="200"/>
        <w:rPr>
          <w:rFonts w:hint="eastAsia" w:ascii="仿宋" w:hAnsi="仿宋" w:eastAsia="仿宋" w:cs="仿宋"/>
          <w:sz w:val="30"/>
          <w:szCs w:val="30"/>
          <w:lang w:val="en-US" w:eastAsia="zh-CN"/>
        </w:rPr>
      </w:pPr>
      <w:r>
        <w:rPr>
          <w:rFonts w:hint="eastAsia" w:ascii="仿宋" w:hAnsi="仿宋" w:eastAsia="仿宋" w:cs="仿宋"/>
          <w:kern w:val="2"/>
          <w:sz w:val="30"/>
          <w:szCs w:val="30"/>
          <w:lang w:val="zh-CN" w:eastAsia="zh-CN" w:bidi="ar-SA"/>
        </w:rPr>
        <w:t>具体操作：登录系统，进入【资产调剂共享】--&gt;【</w:t>
      </w:r>
      <w:r>
        <w:rPr>
          <w:rFonts w:hint="eastAsia" w:ascii="仿宋" w:hAnsi="仿宋" w:eastAsia="仿宋" w:cs="仿宋"/>
          <w:kern w:val="2"/>
          <w:sz w:val="30"/>
          <w:szCs w:val="30"/>
          <w:lang w:val="en-US" w:eastAsia="zh-CN" w:bidi="ar-SA"/>
        </w:rPr>
        <w:t>我的需求</w:t>
      </w:r>
      <w:r>
        <w:rPr>
          <w:rFonts w:hint="eastAsia" w:ascii="仿宋" w:hAnsi="仿宋" w:eastAsia="仿宋" w:cs="仿宋"/>
          <w:kern w:val="2"/>
          <w:sz w:val="30"/>
          <w:szCs w:val="30"/>
          <w:lang w:val="zh-CN" w:eastAsia="zh-CN" w:bidi="ar-SA"/>
        </w:rPr>
        <w:t>】--&gt;【</w:t>
      </w:r>
      <w:r>
        <w:rPr>
          <w:rFonts w:hint="eastAsia" w:ascii="仿宋" w:hAnsi="仿宋" w:eastAsia="仿宋" w:cs="仿宋"/>
          <w:kern w:val="2"/>
          <w:sz w:val="30"/>
          <w:szCs w:val="30"/>
          <w:lang w:val="en-US" w:eastAsia="zh-CN" w:bidi="ar-SA"/>
        </w:rPr>
        <w:t>我的需求发布</w:t>
      </w:r>
      <w:r>
        <w:rPr>
          <w:rFonts w:hint="eastAsia" w:ascii="仿宋" w:hAnsi="仿宋" w:eastAsia="仿宋" w:cs="仿宋"/>
          <w:kern w:val="2"/>
          <w:sz w:val="30"/>
          <w:szCs w:val="30"/>
          <w:lang w:val="zh-CN" w:eastAsia="zh-CN" w:bidi="ar-SA"/>
        </w:rPr>
        <w:t>】页面，</w:t>
      </w:r>
      <w:r>
        <w:rPr>
          <w:rFonts w:hint="eastAsia" w:ascii="仿宋" w:hAnsi="仿宋" w:eastAsia="仿宋" w:cs="仿宋"/>
          <w:kern w:val="2"/>
          <w:sz w:val="30"/>
          <w:szCs w:val="30"/>
          <w:lang w:val="en-US" w:eastAsia="zh-CN" w:bidi="ar-SA"/>
        </w:rPr>
        <w:t>点击【新增】，新增需求发布单，填写需求标题、需求类型、需求描述、需求范围、资产分类、期望到货日期、单位会计科目、财政区划、资产数量/面积、需求发布方单位、需求发布方联系人、需求发布方单位地址、需求发布方联系电话、紧急程度、需求创建人、需求结束日期、需求经办人、附件列表；如图1-5-1。</w:t>
      </w:r>
    </w:p>
    <w:p>
      <w:r>
        <w:drawing>
          <wp:inline distT="0" distB="0" distL="114300" distR="114300">
            <wp:extent cx="5265420" cy="3533775"/>
            <wp:effectExtent l="0" t="0" r="11430" b="9525"/>
            <wp:docPr id="127"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48"/>
                    <pic:cNvPicPr>
                      <a:picLocks noChangeAspect="true"/>
                    </pic:cNvPicPr>
                  </pic:nvPicPr>
                  <pic:blipFill>
                    <a:blip r:embed="rId68"/>
                    <a:stretch>
                      <a:fillRect/>
                    </a:stretch>
                  </pic:blipFill>
                  <pic:spPr>
                    <a:xfrm>
                      <a:off x="0" y="0"/>
                      <a:ext cx="5265420" cy="3533775"/>
                    </a:xfrm>
                    <a:prstGeom prst="rect">
                      <a:avLst/>
                    </a:prstGeom>
                    <a:noFill/>
                    <a:ln>
                      <a:noFill/>
                    </a:ln>
                  </pic:spPr>
                </pic:pic>
              </a:graphicData>
            </a:graphic>
          </wp:inline>
        </w:drawing>
      </w:r>
    </w:p>
    <w:p>
      <w:pPr>
        <w:jc w:val="center"/>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图1-5-1</w:t>
      </w:r>
    </w:p>
    <w:p>
      <w:pPr>
        <w:ind w:firstLine="600" w:firstLineChars="200"/>
        <w:jc w:val="both"/>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点击【修改】，</w:t>
      </w:r>
      <w:r>
        <w:rPr>
          <w:rFonts w:hint="eastAsia" w:ascii="仿宋" w:hAnsi="仿宋" w:eastAsia="仿宋" w:cs="仿宋"/>
          <w:sz w:val="30"/>
          <w:szCs w:val="30"/>
          <w:lang w:val="en-US" w:eastAsia="zh-CN"/>
        </w:rPr>
        <w:t>进入修改信息界面，如图1-5-2。</w:t>
      </w:r>
    </w:p>
    <w:p>
      <w:pPr>
        <w:jc w:val="both"/>
      </w:pPr>
      <w:r>
        <w:drawing>
          <wp:inline distT="0" distB="0" distL="114300" distR="114300">
            <wp:extent cx="5270500" cy="3623310"/>
            <wp:effectExtent l="0" t="0" r="6350" b="15240"/>
            <wp:docPr id="128"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49"/>
                    <pic:cNvPicPr>
                      <a:picLocks noChangeAspect="true"/>
                    </pic:cNvPicPr>
                  </pic:nvPicPr>
                  <pic:blipFill>
                    <a:blip r:embed="rId69"/>
                    <a:stretch>
                      <a:fillRect/>
                    </a:stretch>
                  </pic:blipFill>
                  <pic:spPr>
                    <a:xfrm>
                      <a:off x="0" y="0"/>
                      <a:ext cx="5270500" cy="362331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图1-5-2</w:t>
      </w:r>
    </w:p>
    <w:p>
      <w:pPr>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点击【删除】，即删除选中的数据，如图1-5-3。</w:t>
      </w:r>
    </w:p>
    <w:p>
      <w:pPr>
        <w:jc w:val="both"/>
      </w:pPr>
      <w:r>
        <w:drawing>
          <wp:inline distT="0" distB="0" distL="114300" distR="114300">
            <wp:extent cx="5273040" cy="3977005"/>
            <wp:effectExtent l="0" t="0" r="3810" b="4445"/>
            <wp:docPr id="129"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图片 50"/>
                    <pic:cNvPicPr>
                      <a:picLocks noChangeAspect="true"/>
                    </pic:cNvPicPr>
                  </pic:nvPicPr>
                  <pic:blipFill>
                    <a:blip r:embed="rId70"/>
                    <a:stretch>
                      <a:fillRect/>
                    </a:stretch>
                  </pic:blipFill>
                  <pic:spPr>
                    <a:xfrm>
                      <a:off x="0" y="0"/>
                      <a:ext cx="5273040" cy="3977005"/>
                    </a:xfrm>
                    <a:prstGeom prst="rect">
                      <a:avLst/>
                    </a:prstGeom>
                    <a:noFill/>
                    <a:ln>
                      <a:noFill/>
                    </a:ln>
                  </pic:spPr>
                </pic:pic>
              </a:graphicData>
            </a:graphic>
          </wp:inline>
        </w:drawing>
      </w:r>
    </w:p>
    <w:p>
      <w:pPr>
        <w:jc w:val="center"/>
        <w:outlineLvl w:val="9"/>
        <w:rPr>
          <w:rFonts w:hint="eastAsia"/>
          <w:lang w:val="en-US" w:eastAsia="zh-CN"/>
        </w:rPr>
      </w:pPr>
      <w:r>
        <w:rPr>
          <w:rFonts w:hint="eastAsia" w:ascii="宋体" w:hAnsi="宋体" w:eastAsia="宋体" w:cs="宋体"/>
          <w:sz w:val="24"/>
          <w:szCs w:val="24"/>
          <w:lang w:val="en-US" w:eastAsia="zh-CN"/>
        </w:rPr>
        <w:t>图1-5-3</w:t>
      </w:r>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点击【送审】，将选择的需求发布单据进行送审如图1-5-4，送审的单据显示在【已审核】界面，如下个节点未审核，可取消送审，如图1-5-5。</w:t>
      </w:r>
    </w:p>
    <w:p>
      <w:pPr>
        <w:jc w:val="both"/>
      </w:pPr>
      <w:r>
        <w:drawing>
          <wp:inline distT="0" distB="0" distL="114300" distR="114300">
            <wp:extent cx="5264785" cy="3494405"/>
            <wp:effectExtent l="0" t="0" r="12065" b="10795"/>
            <wp:docPr id="130"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51"/>
                    <pic:cNvPicPr>
                      <a:picLocks noChangeAspect="true"/>
                    </pic:cNvPicPr>
                  </pic:nvPicPr>
                  <pic:blipFill>
                    <a:blip r:embed="rId71"/>
                    <a:stretch>
                      <a:fillRect/>
                    </a:stretch>
                  </pic:blipFill>
                  <pic:spPr>
                    <a:xfrm>
                      <a:off x="0" y="0"/>
                      <a:ext cx="5264785" cy="3494405"/>
                    </a:xfrm>
                    <a:prstGeom prst="rect">
                      <a:avLst/>
                    </a:prstGeom>
                    <a:noFill/>
                    <a:ln>
                      <a:noFill/>
                    </a:ln>
                  </pic:spPr>
                </pic:pic>
              </a:graphicData>
            </a:graphic>
          </wp:inline>
        </w:drawing>
      </w:r>
    </w:p>
    <w:p>
      <w:pPr>
        <w:jc w:val="center"/>
        <w:outlineLvl w:val="9"/>
      </w:pPr>
      <w:r>
        <w:rPr>
          <w:rFonts w:hint="eastAsia" w:ascii="宋体" w:hAnsi="宋体" w:eastAsia="宋体" w:cs="宋体"/>
          <w:sz w:val="24"/>
          <w:szCs w:val="24"/>
          <w:lang w:val="en-US" w:eastAsia="zh-CN"/>
        </w:rPr>
        <w:t>图1-5-4</w:t>
      </w:r>
    </w:p>
    <w:p>
      <w:pPr>
        <w:jc w:val="both"/>
      </w:pPr>
      <w:r>
        <w:drawing>
          <wp:inline distT="0" distB="0" distL="114300" distR="114300">
            <wp:extent cx="5273040" cy="3380105"/>
            <wp:effectExtent l="0" t="0" r="3810" b="10795"/>
            <wp:docPr id="13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52"/>
                    <pic:cNvPicPr>
                      <a:picLocks noChangeAspect="true"/>
                    </pic:cNvPicPr>
                  </pic:nvPicPr>
                  <pic:blipFill>
                    <a:blip r:embed="rId72"/>
                    <a:stretch>
                      <a:fillRect/>
                    </a:stretch>
                  </pic:blipFill>
                  <pic:spPr>
                    <a:xfrm>
                      <a:off x="0" y="0"/>
                      <a:ext cx="5273040" cy="3380105"/>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lang w:val="en-US" w:eastAsia="zh-CN"/>
        </w:rPr>
        <w:t>图1-5-5</w:t>
      </w:r>
    </w:p>
    <w:p>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点击【查看详情】可查看需求发布信息，如图1-5-6。</w:t>
      </w:r>
    </w:p>
    <w:p>
      <w:r>
        <w:drawing>
          <wp:inline distT="0" distB="0" distL="114300" distR="114300">
            <wp:extent cx="5269865" cy="3486150"/>
            <wp:effectExtent l="0" t="0" r="6985" b="0"/>
            <wp:docPr id="13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图片 53"/>
                    <pic:cNvPicPr>
                      <a:picLocks noChangeAspect="true"/>
                    </pic:cNvPicPr>
                  </pic:nvPicPr>
                  <pic:blipFill>
                    <a:blip r:embed="rId73"/>
                    <a:stretch>
                      <a:fillRect/>
                    </a:stretch>
                  </pic:blipFill>
                  <pic:spPr>
                    <a:xfrm>
                      <a:off x="0" y="0"/>
                      <a:ext cx="5269865" cy="3486150"/>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lang w:val="en-US" w:eastAsia="zh-CN"/>
        </w:rPr>
        <w:t>图1-5-6</w:t>
      </w:r>
    </w:p>
    <w:p>
      <w:pPr>
        <w:rPr>
          <w:rFonts w:hint="default" w:ascii="宋体" w:hAnsi="宋体" w:eastAsia="宋体" w:cs="宋体"/>
          <w:sz w:val="24"/>
          <w:szCs w:val="24"/>
          <w:lang w:val="en-US" w:eastAsia="zh-CN"/>
        </w:rPr>
      </w:pPr>
    </w:p>
    <w:p>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点击【审核情况】，查看审核情况，可看出流程走到哪个节点，如图1-5-7。</w:t>
      </w:r>
    </w:p>
    <w:p>
      <w:r>
        <w:drawing>
          <wp:inline distT="0" distB="0" distL="114300" distR="114300">
            <wp:extent cx="5271135" cy="3300730"/>
            <wp:effectExtent l="0" t="0" r="5715" b="13970"/>
            <wp:docPr id="13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 name="图片 54"/>
                    <pic:cNvPicPr>
                      <a:picLocks noChangeAspect="true"/>
                    </pic:cNvPicPr>
                  </pic:nvPicPr>
                  <pic:blipFill>
                    <a:blip r:embed="rId74"/>
                    <a:stretch>
                      <a:fillRect/>
                    </a:stretch>
                  </pic:blipFill>
                  <pic:spPr>
                    <a:xfrm>
                      <a:off x="0" y="0"/>
                      <a:ext cx="5271135" cy="3300730"/>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lang w:val="en-US" w:eastAsia="zh-CN"/>
        </w:rPr>
        <w:t>图1-5-7</w:t>
      </w: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76" w:name="_Toc13880"/>
      <w:bookmarkStart w:id="77" w:name="_Toc14885"/>
      <w:bookmarkStart w:id="78" w:name="_Toc5924"/>
      <w:bookmarkStart w:id="79" w:name="_Toc16305_WPSOffice_Level3"/>
      <w:r>
        <w:rPr>
          <w:rFonts w:hint="eastAsia" w:ascii="仿宋" w:hAnsi="仿宋" w:eastAsia="仿宋" w:cs="仿宋"/>
          <w:b/>
          <w:bCs/>
          <w:sz w:val="30"/>
          <w:szCs w:val="30"/>
          <w:lang w:val="en-US" w:eastAsia="zh-CN"/>
        </w:rPr>
        <w:t>2.我的需求审核</w:t>
      </w:r>
      <w:bookmarkEnd w:id="76"/>
      <w:bookmarkEnd w:id="77"/>
      <w:bookmarkEnd w:id="78"/>
      <w:bookmarkEnd w:id="79"/>
    </w:p>
    <w:p>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我的需求审核存在我的需求发布送审过来的数据，送审的数据并没有发布出去，还需要经过审核，发布全国的需要经过财政审核。</w:t>
      </w:r>
    </w:p>
    <w:p>
      <w:pPr>
        <w:spacing w:line="360" w:lineRule="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 xml:space="preserve">    </w:t>
      </w:r>
      <w:r>
        <w:rPr>
          <w:rFonts w:hint="eastAsia" w:ascii="仿宋" w:hAnsi="仿宋" w:eastAsia="仿宋" w:cs="仿宋"/>
          <w:kern w:val="2"/>
          <w:sz w:val="30"/>
          <w:szCs w:val="30"/>
          <w:lang w:val="zh-CN" w:eastAsia="zh-CN" w:bidi="ar-SA"/>
        </w:rPr>
        <w:t>具体操作：登录系统，进入【资产调剂共享】--&gt;【</w:t>
      </w:r>
      <w:r>
        <w:rPr>
          <w:rFonts w:hint="eastAsia" w:ascii="仿宋" w:hAnsi="仿宋" w:eastAsia="仿宋" w:cs="仿宋"/>
          <w:kern w:val="2"/>
          <w:sz w:val="30"/>
          <w:szCs w:val="30"/>
          <w:lang w:val="en-US" w:eastAsia="zh-CN" w:bidi="ar-SA"/>
        </w:rPr>
        <w:t>我的需求</w:t>
      </w:r>
      <w:r>
        <w:rPr>
          <w:rFonts w:hint="eastAsia" w:ascii="仿宋" w:hAnsi="仿宋" w:eastAsia="仿宋" w:cs="仿宋"/>
          <w:kern w:val="2"/>
          <w:sz w:val="30"/>
          <w:szCs w:val="30"/>
          <w:lang w:val="zh-CN" w:eastAsia="zh-CN" w:bidi="ar-SA"/>
        </w:rPr>
        <w:t>】--&gt;【</w:t>
      </w:r>
      <w:r>
        <w:rPr>
          <w:rFonts w:hint="eastAsia" w:ascii="仿宋" w:hAnsi="仿宋" w:eastAsia="仿宋" w:cs="仿宋"/>
          <w:kern w:val="2"/>
          <w:sz w:val="30"/>
          <w:szCs w:val="30"/>
          <w:lang w:val="en-US" w:eastAsia="zh-CN" w:bidi="ar-SA"/>
        </w:rPr>
        <w:t>我的需求审核</w:t>
      </w:r>
      <w:r>
        <w:rPr>
          <w:rFonts w:hint="eastAsia" w:ascii="仿宋" w:hAnsi="仿宋" w:eastAsia="仿宋" w:cs="仿宋"/>
          <w:kern w:val="2"/>
          <w:sz w:val="30"/>
          <w:szCs w:val="30"/>
          <w:lang w:val="zh-CN" w:eastAsia="zh-CN" w:bidi="ar-SA"/>
        </w:rPr>
        <w:t xml:space="preserve">】页面， </w:t>
      </w:r>
      <w:r>
        <w:rPr>
          <w:rFonts w:hint="eastAsia" w:ascii="仿宋" w:hAnsi="仿宋" w:eastAsia="仿宋" w:cs="仿宋"/>
          <w:kern w:val="2"/>
          <w:sz w:val="30"/>
          <w:szCs w:val="30"/>
          <w:lang w:val="en-US" w:eastAsia="zh-CN" w:bidi="ar-SA"/>
        </w:rPr>
        <w:t>待审核界面看到【我的需求】发布送审过来的单据</w:t>
      </w:r>
      <w:r>
        <w:rPr>
          <w:rFonts w:hint="eastAsia" w:ascii="仿宋" w:hAnsi="仿宋" w:eastAsia="仿宋" w:cs="仿宋"/>
          <w:kern w:val="2"/>
          <w:sz w:val="30"/>
          <w:szCs w:val="30"/>
          <w:lang w:val="zh-CN" w:eastAsia="zh-CN" w:bidi="ar-SA"/>
        </w:rPr>
        <w:t>，如图</w:t>
      </w:r>
      <w:r>
        <w:rPr>
          <w:rFonts w:hint="eastAsia" w:ascii="仿宋" w:hAnsi="仿宋" w:eastAsia="仿宋" w:cs="仿宋"/>
          <w:kern w:val="2"/>
          <w:sz w:val="30"/>
          <w:szCs w:val="30"/>
          <w:lang w:val="en-US" w:eastAsia="zh-CN" w:bidi="ar-SA"/>
        </w:rPr>
        <w:t>1-5-8。</w:t>
      </w:r>
    </w:p>
    <w:p>
      <w:r>
        <w:drawing>
          <wp:inline distT="0" distB="0" distL="114300" distR="114300">
            <wp:extent cx="5272405" cy="5698490"/>
            <wp:effectExtent l="0" t="0" r="4445" b="16510"/>
            <wp:docPr id="13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55"/>
                    <pic:cNvPicPr>
                      <a:picLocks noChangeAspect="true"/>
                    </pic:cNvPicPr>
                  </pic:nvPicPr>
                  <pic:blipFill>
                    <a:blip r:embed="rId75"/>
                    <a:stretch>
                      <a:fillRect/>
                    </a:stretch>
                  </pic:blipFill>
                  <pic:spPr>
                    <a:xfrm>
                      <a:off x="0" y="0"/>
                      <a:ext cx="5272405" cy="5698490"/>
                    </a:xfrm>
                    <a:prstGeom prst="rect">
                      <a:avLst/>
                    </a:prstGeom>
                    <a:noFill/>
                    <a:ln>
                      <a:noFill/>
                    </a:ln>
                  </pic:spPr>
                </pic:pic>
              </a:graphicData>
            </a:graphic>
          </wp:inline>
        </w:drawing>
      </w:r>
    </w:p>
    <w:p>
      <w:pPr>
        <w:jc w:val="center"/>
        <w:outlineLvl w:val="9"/>
      </w:pPr>
      <w:r>
        <w:rPr>
          <w:rFonts w:hint="eastAsia" w:ascii="宋体" w:hAnsi="宋体" w:eastAsia="宋体" w:cs="宋体"/>
          <w:kern w:val="2"/>
          <w:sz w:val="24"/>
          <w:szCs w:val="24"/>
          <w:lang w:val="zh-CN" w:eastAsia="zh-CN" w:bidi="ar-SA"/>
        </w:rPr>
        <w:t>图</w:t>
      </w:r>
      <w:r>
        <w:rPr>
          <w:rFonts w:hint="eastAsia" w:ascii="宋体" w:hAnsi="宋体" w:eastAsia="宋体" w:cs="宋体"/>
          <w:kern w:val="2"/>
          <w:sz w:val="24"/>
          <w:szCs w:val="24"/>
          <w:lang w:val="en-US" w:eastAsia="zh-CN" w:bidi="ar-SA"/>
        </w:rPr>
        <w:t>1-5-8</w:t>
      </w:r>
    </w:p>
    <w:p>
      <w:pPr>
        <w:spacing w:line="4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选择一条数据点击【审核】，对已送审的资产需求进行审核如图1-5-9。</w:t>
      </w:r>
    </w:p>
    <w:p>
      <w:r>
        <w:drawing>
          <wp:inline distT="0" distB="0" distL="114300" distR="114300">
            <wp:extent cx="5267960" cy="3345180"/>
            <wp:effectExtent l="0" t="0" r="8890" b="7620"/>
            <wp:docPr id="13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56"/>
                    <pic:cNvPicPr>
                      <a:picLocks noChangeAspect="true"/>
                    </pic:cNvPicPr>
                  </pic:nvPicPr>
                  <pic:blipFill>
                    <a:blip r:embed="rId76"/>
                    <a:stretch>
                      <a:fillRect/>
                    </a:stretch>
                  </pic:blipFill>
                  <pic:spPr>
                    <a:xfrm>
                      <a:off x="0" y="0"/>
                      <a:ext cx="5267960" cy="3345180"/>
                    </a:xfrm>
                    <a:prstGeom prst="rect">
                      <a:avLst/>
                    </a:prstGeom>
                    <a:noFill/>
                    <a:ln>
                      <a:noFill/>
                    </a:ln>
                  </pic:spPr>
                </pic:pic>
              </a:graphicData>
            </a:graphic>
          </wp:inline>
        </w:drawing>
      </w:r>
    </w:p>
    <w:p>
      <w:pPr>
        <w:jc w:val="center"/>
        <w:outlineLvl w:val="9"/>
        <w:rPr>
          <w:rFonts w:hint="eastAsia"/>
          <w:lang w:val="en-US" w:eastAsia="zh-CN"/>
        </w:rPr>
      </w:pPr>
      <w:r>
        <w:rPr>
          <w:rFonts w:hint="eastAsia" w:ascii="宋体" w:hAnsi="宋体" w:eastAsia="宋体" w:cs="宋体"/>
          <w:sz w:val="24"/>
          <w:szCs w:val="24"/>
          <w:lang w:val="en-US" w:eastAsia="zh-CN"/>
        </w:rPr>
        <w:t>图1-5-9</w:t>
      </w:r>
    </w:p>
    <w:p>
      <w:pPr>
        <w:spacing w:line="46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审核数据进入已审核界面，【取消审核】，对已审核的调剂资产进行取消审核，取消成功，数据流转到“待审核”页面，状态为“XXX审核取消审核”如图1-5-10。</w:t>
      </w:r>
    </w:p>
    <w:p>
      <w:r>
        <w:drawing>
          <wp:inline distT="0" distB="0" distL="114300" distR="114300">
            <wp:extent cx="5273675" cy="3447415"/>
            <wp:effectExtent l="0" t="0" r="3175" b="635"/>
            <wp:docPr id="13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57"/>
                    <pic:cNvPicPr>
                      <a:picLocks noChangeAspect="true"/>
                    </pic:cNvPicPr>
                  </pic:nvPicPr>
                  <pic:blipFill>
                    <a:blip r:embed="rId77"/>
                    <a:stretch>
                      <a:fillRect/>
                    </a:stretch>
                  </pic:blipFill>
                  <pic:spPr>
                    <a:xfrm>
                      <a:off x="0" y="0"/>
                      <a:ext cx="5273675" cy="3447415"/>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图1-5-10</w:t>
      </w:r>
    </w:p>
    <w:p>
      <w:pPr>
        <w:pageBreakBefore w:val="0"/>
        <w:widowControl w:val="0"/>
        <w:numPr>
          <w:ilvl w:val="0"/>
          <w:numId w:val="0"/>
        </w:numPr>
        <w:kinsoku/>
        <w:wordWrap/>
        <w:overflowPunct/>
        <w:topLinePunct w:val="0"/>
        <w:autoSpaceDE/>
        <w:autoSpaceDN/>
        <w:bidi w:val="0"/>
        <w:adjustRightInd/>
        <w:snapToGrid/>
        <w:spacing w:line="578" w:lineRule="atLeast"/>
        <w:ind w:left="840" w:leftChars="0"/>
        <w:jc w:val="left"/>
        <w:textAlignment w:val="auto"/>
        <w:rPr>
          <w:rFonts w:hint="eastAsia" w:ascii="宋体" w:hAnsi="宋体" w:eastAsia="宋体" w:cs="宋体"/>
          <w:sz w:val="30"/>
          <w:szCs w:val="30"/>
          <w:lang w:val="en-US" w:eastAsia="zh-CN"/>
        </w:rPr>
      </w:pPr>
      <w:r>
        <w:rPr>
          <w:rFonts w:hint="eastAsia" w:ascii="仿宋" w:hAnsi="仿宋" w:eastAsia="仿宋" w:cs="仿宋"/>
          <w:color w:val="FF0000"/>
          <w:sz w:val="30"/>
          <w:szCs w:val="30"/>
          <w:highlight w:val="none"/>
          <w:lang w:val="en-US" w:eastAsia="zh-CN"/>
        </w:rPr>
        <w:t>注：</w:t>
      </w:r>
    </w:p>
    <w:p>
      <w:pPr>
        <w:pageBreakBefore w:val="0"/>
        <w:widowControl w:val="0"/>
        <w:numPr>
          <w:ilvl w:val="0"/>
          <w:numId w:val="3"/>
        </w:numPr>
        <w:kinsoku/>
        <w:wordWrap/>
        <w:overflowPunct/>
        <w:topLinePunct w:val="0"/>
        <w:autoSpaceDE/>
        <w:autoSpaceDN/>
        <w:bidi w:val="0"/>
        <w:adjustRightInd/>
        <w:snapToGrid/>
        <w:spacing w:line="578" w:lineRule="atLeast"/>
        <w:ind w:left="830" w:leftChars="0" w:firstLine="640" w:firstLineChars="0"/>
        <w:jc w:val="left"/>
        <w:textAlignment w:val="auto"/>
        <w:rPr>
          <w:rFonts w:hint="default"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本地审核未终审的，都属于03-省内审核中；</w:t>
      </w:r>
    </w:p>
    <w:p>
      <w:pPr>
        <w:pageBreakBefore w:val="0"/>
        <w:widowControl w:val="0"/>
        <w:numPr>
          <w:ilvl w:val="0"/>
          <w:numId w:val="3"/>
        </w:numPr>
        <w:kinsoku/>
        <w:wordWrap/>
        <w:overflowPunct/>
        <w:topLinePunct w:val="0"/>
        <w:autoSpaceDE/>
        <w:autoSpaceDN/>
        <w:bidi w:val="0"/>
        <w:adjustRightInd/>
        <w:snapToGrid/>
        <w:spacing w:line="578" w:lineRule="atLeast"/>
        <w:ind w:left="830" w:leftChars="0" w:firstLine="640" w:firstLineChars="0"/>
        <w:jc w:val="left"/>
        <w:textAlignment w:val="auto"/>
        <w:rPr>
          <w:rFonts w:hint="default"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本地终审审核通过的，通过汇总系统进行数据上报，审核状态变更为“01-待财政部审核”，“财政部已审核”通过汇总系统下发后，审核状态变更为“02-财政部已审核”</w:t>
      </w:r>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本地终审后，未上报汇总系统的则可以取消终审，如已上报汇总系统，则不能取消终审如图1-5-11，可去我的需求管理界面做下架处理。</w:t>
      </w:r>
    </w:p>
    <w:p>
      <w:pPr>
        <w:jc w:val="both"/>
      </w:pPr>
      <w:r>
        <w:drawing>
          <wp:inline distT="0" distB="0" distL="114300" distR="114300">
            <wp:extent cx="5274310" cy="3701415"/>
            <wp:effectExtent l="0" t="0" r="2540" b="13335"/>
            <wp:docPr id="13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58"/>
                    <pic:cNvPicPr>
                      <a:picLocks noChangeAspect="true"/>
                    </pic:cNvPicPr>
                  </pic:nvPicPr>
                  <pic:blipFill>
                    <a:blip r:embed="rId78"/>
                    <a:stretch>
                      <a:fillRect/>
                    </a:stretch>
                  </pic:blipFill>
                  <pic:spPr>
                    <a:xfrm>
                      <a:off x="0" y="0"/>
                      <a:ext cx="5274310" cy="3701415"/>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图1-5-11</w:t>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80" w:name="_Toc17601"/>
      <w:bookmarkStart w:id="81" w:name="_Toc4403"/>
      <w:bookmarkStart w:id="82" w:name="_Toc16702"/>
      <w:bookmarkStart w:id="83" w:name="_Toc22815_WPSOffice_Level3"/>
      <w:r>
        <w:rPr>
          <w:rFonts w:hint="eastAsia" w:ascii="仿宋" w:hAnsi="仿宋" w:eastAsia="仿宋" w:cs="仿宋"/>
          <w:b/>
          <w:bCs/>
          <w:sz w:val="30"/>
          <w:szCs w:val="30"/>
          <w:lang w:val="en-US" w:eastAsia="zh-CN"/>
        </w:rPr>
        <w:t>3.我的需求管理</w:t>
      </w:r>
      <w:bookmarkEnd w:id="80"/>
      <w:bookmarkEnd w:id="81"/>
      <w:bookmarkEnd w:id="82"/>
      <w:bookmarkEnd w:id="83"/>
    </w:p>
    <w:p>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显示我的需求发布终审的数据即需求状态是发布，同时需求广场也显示。</w:t>
      </w:r>
      <w:r>
        <w:rPr>
          <w:rFonts w:hint="eastAsia" w:ascii="仿宋" w:hAnsi="仿宋" w:eastAsia="仿宋" w:cs="仿宋"/>
          <w:kern w:val="2"/>
          <w:sz w:val="30"/>
          <w:szCs w:val="30"/>
          <w:lang w:val="en-US" w:eastAsia="zh-CN" w:bidi="ar-SA"/>
        </w:rPr>
        <w:t>具体操作：登录系统，进入【资产调剂共享】--&gt;【我的需求】--&gt;【我的需求管理】页面，</w:t>
      </w:r>
      <w:r>
        <w:rPr>
          <w:rFonts w:hint="eastAsia" w:ascii="仿宋" w:hAnsi="仿宋" w:eastAsia="仿宋" w:cs="仿宋"/>
          <w:sz w:val="30"/>
          <w:szCs w:val="30"/>
          <w:lang w:val="en-US" w:eastAsia="zh-CN"/>
        </w:rPr>
        <w:t>如图1-5-12。</w:t>
      </w:r>
    </w:p>
    <w:p>
      <w:r>
        <w:drawing>
          <wp:inline distT="0" distB="0" distL="114300" distR="114300">
            <wp:extent cx="5269230" cy="5791835"/>
            <wp:effectExtent l="0" t="0" r="7620" b="18415"/>
            <wp:docPr id="13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59"/>
                    <pic:cNvPicPr>
                      <a:picLocks noChangeAspect="true"/>
                    </pic:cNvPicPr>
                  </pic:nvPicPr>
                  <pic:blipFill>
                    <a:blip r:embed="rId79"/>
                    <a:stretch>
                      <a:fillRect/>
                    </a:stretch>
                  </pic:blipFill>
                  <pic:spPr>
                    <a:xfrm>
                      <a:off x="0" y="0"/>
                      <a:ext cx="5269230" cy="5791835"/>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图1-5-12</w:t>
      </w:r>
    </w:p>
    <w:p>
      <w:pPr>
        <w:jc w:val="center"/>
        <w:rPr>
          <w:rFonts w:hint="eastAsia" w:ascii="宋体" w:hAnsi="宋体" w:eastAsia="宋体" w:cs="宋体"/>
          <w:sz w:val="24"/>
          <w:szCs w:val="24"/>
          <w:lang w:val="en-US" w:eastAsia="zh-CN"/>
        </w:rPr>
      </w:pPr>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点击【下架】，即我的需求发布后本单位因某种原因不需要了，即可选择数据点击下架。如图1-5-13。</w:t>
      </w:r>
    </w:p>
    <w:p>
      <w:pPr>
        <w:jc w:val="both"/>
      </w:pPr>
      <w:r>
        <w:drawing>
          <wp:inline distT="0" distB="0" distL="114300" distR="114300">
            <wp:extent cx="5264150" cy="3503295"/>
            <wp:effectExtent l="0" t="0" r="12700" b="1905"/>
            <wp:docPr id="141"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60"/>
                    <pic:cNvPicPr>
                      <a:picLocks noChangeAspect="true"/>
                    </pic:cNvPicPr>
                  </pic:nvPicPr>
                  <pic:blipFill>
                    <a:blip r:embed="rId80"/>
                    <a:stretch>
                      <a:fillRect/>
                    </a:stretch>
                  </pic:blipFill>
                  <pic:spPr>
                    <a:xfrm>
                      <a:off x="0" y="0"/>
                      <a:ext cx="5264150" cy="3503295"/>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lang w:val="en-US" w:eastAsia="zh-CN"/>
        </w:rPr>
        <w:t>图1-5-13</w:t>
      </w:r>
    </w:p>
    <w:p>
      <w:pPr>
        <w:spacing w:line="360" w:lineRule="auto"/>
        <w:ind w:firstLine="600" w:firstLineChars="200"/>
        <w:jc w:val="both"/>
        <w:rPr>
          <w:rFonts w:hint="default" w:ascii="宋体" w:hAnsi="宋体" w:eastAsia="宋体" w:cs="宋体"/>
          <w:sz w:val="30"/>
          <w:szCs w:val="30"/>
          <w:lang w:val="en-US" w:eastAsia="zh-CN"/>
        </w:rPr>
      </w:pPr>
      <w:r>
        <w:rPr>
          <w:rFonts w:hint="eastAsia" w:ascii="仿宋" w:hAnsi="仿宋" w:eastAsia="仿宋" w:cs="仿宋"/>
          <w:sz w:val="30"/>
          <w:szCs w:val="30"/>
          <w:lang w:val="en-US" w:eastAsia="zh-CN"/>
        </w:rPr>
        <w:t>点击【登记需求结果】，发布需求单位和其他单位协商一致，要使用其他单位的资产，发布需求单位需要手动登记资产提供方单位名称如图1-5-14。</w:t>
      </w:r>
    </w:p>
    <w:p>
      <w:pPr>
        <w:jc w:val="both"/>
      </w:pPr>
      <w:r>
        <w:drawing>
          <wp:inline distT="0" distB="0" distL="114300" distR="114300">
            <wp:extent cx="5273675" cy="3441700"/>
            <wp:effectExtent l="0" t="0" r="3175" b="6350"/>
            <wp:docPr id="142"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61"/>
                    <pic:cNvPicPr>
                      <a:picLocks noChangeAspect="true"/>
                    </pic:cNvPicPr>
                  </pic:nvPicPr>
                  <pic:blipFill>
                    <a:blip r:embed="rId81"/>
                    <a:stretch>
                      <a:fillRect/>
                    </a:stretch>
                  </pic:blipFill>
                  <pic:spPr>
                    <a:xfrm>
                      <a:off x="0" y="0"/>
                      <a:ext cx="5273675" cy="3441700"/>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图1-5-14</w:t>
      </w:r>
    </w:p>
    <w:p>
      <w:pPr>
        <w:jc w:val="center"/>
        <w:rPr>
          <w:rFonts w:hint="eastAsia" w:ascii="宋体" w:hAnsi="宋体" w:eastAsia="宋体" w:cs="宋体"/>
          <w:sz w:val="24"/>
          <w:szCs w:val="24"/>
          <w:lang w:val="en-US" w:eastAsia="zh-CN"/>
        </w:rPr>
      </w:pP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84" w:name="_Toc16023"/>
      <w:bookmarkStart w:id="85" w:name="_Toc5559"/>
      <w:bookmarkStart w:id="86" w:name="_Toc29731"/>
      <w:bookmarkStart w:id="87" w:name="_Toc15477_WPSOffice_Level3"/>
      <w:r>
        <w:rPr>
          <w:rFonts w:hint="eastAsia" w:ascii="仿宋" w:hAnsi="仿宋" w:eastAsia="仿宋" w:cs="仿宋"/>
          <w:b/>
          <w:bCs/>
          <w:sz w:val="30"/>
          <w:szCs w:val="30"/>
          <w:lang w:val="en-US" w:eastAsia="zh-CN"/>
        </w:rPr>
        <w:t>4.我的需求查询</w:t>
      </w:r>
      <w:bookmarkEnd w:id="84"/>
      <w:bookmarkEnd w:id="85"/>
      <w:bookmarkEnd w:id="86"/>
      <w:bookmarkEnd w:id="87"/>
    </w:p>
    <w:p>
      <w:pPr>
        <w:spacing w:line="360" w:lineRule="auto"/>
        <w:ind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可查询发布的需求信息如图1-5-15。</w:t>
      </w:r>
    </w:p>
    <w:p>
      <w:pPr>
        <w:jc w:val="both"/>
      </w:pPr>
      <w:r>
        <w:drawing>
          <wp:inline distT="0" distB="0" distL="114300" distR="114300">
            <wp:extent cx="5267960" cy="4860925"/>
            <wp:effectExtent l="0" t="0" r="8890" b="15875"/>
            <wp:docPr id="143"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62"/>
                    <pic:cNvPicPr>
                      <a:picLocks noChangeAspect="true"/>
                    </pic:cNvPicPr>
                  </pic:nvPicPr>
                  <pic:blipFill>
                    <a:blip r:embed="rId82"/>
                    <a:stretch>
                      <a:fillRect/>
                    </a:stretch>
                  </pic:blipFill>
                  <pic:spPr>
                    <a:xfrm>
                      <a:off x="0" y="0"/>
                      <a:ext cx="5267960" cy="4860925"/>
                    </a:xfrm>
                    <a:prstGeom prst="rect">
                      <a:avLst/>
                    </a:prstGeom>
                    <a:noFill/>
                    <a:ln>
                      <a:noFill/>
                    </a:ln>
                  </pic:spPr>
                </pic:pic>
              </a:graphicData>
            </a:graphic>
          </wp:inline>
        </w:drawing>
      </w:r>
    </w:p>
    <w:p>
      <w:pPr>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图1-5-15</w:t>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numPr>
          <w:ilvl w:val="0"/>
          <w:numId w:val="0"/>
        </w:numPr>
        <w:bidi w:val="0"/>
        <w:ind w:firstLine="602" w:firstLineChars="200"/>
        <w:outlineLvl w:val="2"/>
        <w:rPr>
          <w:rFonts w:hint="eastAsia" w:ascii="仿宋" w:hAnsi="仿宋" w:eastAsia="仿宋" w:cs="仿宋"/>
          <w:b/>
          <w:bCs/>
          <w:sz w:val="30"/>
          <w:szCs w:val="30"/>
          <w:lang w:val="en-US" w:eastAsia="zh-CN"/>
        </w:rPr>
      </w:pPr>
      <w:bookmarkStart w:id="88" w:name="_Toc28562"/>
      <w:bookmarkStart w:id="89" w:name="_Toc8194"/>
      <w:bookmarkStart w:id="90" w:name="_Toc6782"/>
      <w:bookmarkStart w:id="91" w:name="_Toc10305_WPSOffice_Level3"/>
      <w:r>
        <w:rPr>
          <w:rFonts w:hint="eastAsia" w:ascii="仿宋" w:hAnsi="仿宋" w:eastAsia="仿宋" w:cs="仿宋"/>
          <w:b/>
          <w:bCs/>
          <w:sz w:val="30"/>
          <w:szCs w:val="30"/>
          <w:lang w:val="en-US" w:eastAsia="zh-CN"/>
        </w:rPr>
        <w:t>5.需求广场</w:t>
      </w:r>
      <w:bookmarkEnd w:id="88"/>
      <w:bookmarkEnd w:id="89"/>
      <w:bookmarkEnd w:id="90"/>
      <w:bookmarkEnd w:id="91"/>
    </w:p>
    <w:p>
      <w:pPr>
        <w:spacing w:line="360" w:lineRule="auto"/>
        <w:ind w:firstLine="600" w:firstLineChars="200"/>
        <w:rPr>
          <w:rFonts w:hint="eastAsia" w:ascii="仿宋" w:hAnsi="仿宋" w:eastAsia="仿宋" w:cs="仿宋"/>
          <w:spacing w:val="0"/>
          <w:sz w:val="30"/>
          <w:szCs w:val="30"/>
          <w:highlight w:val="none"/>
        </w:rPr>
      </w:pPr>
      <w:r>
        <w:rPr>
          <w:rFonts w:hint="eastAsia" w:ascii="仿宋" w:hAnsi="仿宋" w:eastAsia="仿宋" w:cs="仿宋"/>
          <w:spacing w:val="0"/>
          <w:sz w:val="30"/>
          <w:szCs w:val="30"/>
          <w:highlight w:val="none"/>
        </w:rPr>
        <w:t>可在此查看其他单位发布的资产调剂共享需求，如本单位有符合的资产，经线下沟通达成一致意见，可将资产调剂共享至需求单位。</w:t>
      </w:r>
    </w:p>
    <w:p>
      <w:pPr>
        <w:spacing w:line="360" w:lineRule="auto"/>
        <w:ind w:firstLine="600" w:firstLineChars="200"/>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具体操作：登录系统，进入【资产调剂共享】--&gt;【需求广场】页面。“本地区”显示的是本地区审核终审的资产需求，接收财政部已审核后更新“调剂共享审核状态”，后续登记需求结果也进行相应更新（如资产提供方信息的信息）如图1-6-1。</w:t>
      </w:r>
    </w:p>
    <w:p>
      <w:pPr>
        <w:spacing w:line="360" w:lineRule="auto"/>
        <w:ind w:firstLine="600" w:firstLineChars="200"/>
        <w:rPr>
          <w:rFonts w:hint="eastAsia" w:ascii="宋体" w:hAnsi="宋体" w:eastAsia="宋体" w:cs="宋体"/>
          <w:kern w:val="2"/>
          <w:sz w:val="24"/>
          <w:szCs w:val="24"/>
          <w:lang w:val="zh-CN" w:eastAsia="zh-CN" w:bidi="ar-SA"/>
        </w:rPr>
      </w:pPr>
      <w:r>
        <w:rPr>
          <w:rFonts w:hint="eastAsia" w:ascii="仿宋" w:hAnsi="仿宋" w:eastAsia="仿宋" w:cs="仿宋"/>
          <w:kern w:val="2"/>
          <w:sz w:val="30"/>
          <w:szCs w:val="30"/>
          <w:lang w:val="en-US" w:eastAsia="zh-CN" w:bidi="ar-SA"/>
        </w:rPr>
        <w:t>“全国”显示的是通过接收财政部已审核的资产需求，包括本地区的资产需求图1-6-2。</w:t>
      </w:r>
    </w:p>
    <w:p>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"C:\\Users\\吴应翔\\AppData\\Roaming\\LanxinSoftCustom\\Resource\\Pictures\\524288\\lanxin_20250529143244.png"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106035" cy="3097530"/>
            <wp:effectExtent l="0" t="0" r="18415" b="7620"/>
            <wp:docPr id="152" name="图片 1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 name="图片 14" descr="IMG_256"/>
                    <pic:cNvPicPr>
                      <a:picLocks noChangeAspect="true"/>
                    </pic:cNvPicPr>
                  </pic:nvPicPr>
                  <pic:blipFill>
                    <a:blip r:embed="rId83" r:link="rId84"/>
                    <a:stretch>
                      <a:fillRect/>
                    </a:stretch>
                  </pic:blipFill>
                  <pic:spPr>
                    <a:xfrm>
                      <a:off x="0" y="0"/>
                      <a:ext cx="5106035" cy="3097530"/>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center"/>
        <w:outlineLvl w:val="9"/>
        <w:rPr>
          <w:rFonts w:hint="eastAsia"/>
          <w:lang w:val="zh-CN" w:eastAsia="zh-CN"/>
        </w:rPr>
      </w:pPr>
      <w:r>
        <w:rPr>
          <w:rFonts w:hint="eastAsia" w:ascii="宋体" w:hAnsi="宋体" w:eastAsia="宋体" w:cs="宋体"/>
          <w:kern w:val="2"/>
          <w:sz w:val="24"/>
          <w:szCs w:val="24"/>
          <w:lang w:val="en-US" w:eastAsia="zh-CN" w:bidi="ar-SA"/>
        </w:rPr>
        <w:t>图1-6-1</w:t>
      </w:r>
    </w:p>
    <w:p>
      <w:pPr>
        <w:rPr>
          <w:rFonts w:hint="eastAsia" w:ascii="宋体" w:hAnsi="宋体" w:eastAsia="宋体" w:cs="宋体"/>
          <w:kern w:val="2"/>
          <w:sz w:val="24"/>
          <w:szCs w:val="24"/>
          <w:lang w:val="zh-CN" w:eastAsia="zh-CN" w:bidi="ar-SA"/>
        </w:rPr>
      </w:pPr>
    </w:p>
    <w:p>
      <w:pPr>
        <w:rPr>
          <w:rFonts w:hint="eastAsia" w:ascii="宋体" w:hAnsi="宋体" w:eastAsia="宋体" w:cs="宋体"/>
          <w:kern w:val="2"/>
          <w:sz w:val="24"/>
          <w:szCs w:val="24"/>
          <w:lang w:val="zh-CN" w:eastAsia="zh-CN" w:bidi="ar-SA"/>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"C:\\Users\\吴应翔\\AppData\\Roaming\\LanxinSoftCustom\\Resource\\Pictures\\524288\\lanxin_20250529143350.png"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201285" cy="3304540"/>
            <wp:effectExtent l="0" t="0" r="18415" b="10160"/>
            <wp:docPr id="153" name="图片 1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15" descr="IMG_256"/>
                    <pic:cNvPicPr>
                      <a:picLocks noChangeAspect="true"/>
                    </pic:cNvPicPr>
                  </pic:nvPicPr>
                  <pic:blipFill>
                    <a:blip r:embed="rId85" r:link="rId86"/>
                    <a:stretch>
                      <a:fillRect/>
                    </a:stretch>
                  </pic:blipFill>
                  <pic:spPr>
                    <a:xfrm>
                      <a:off x="0" y="0"/>
                      <a:ext cx="5201285" cy="3304540"/>
                    </a:xfrm>
                    <a:prstGeom prst="rect">
                      <a:avLst/>
                    </a:prstGeom>
                    <a:noFill/>
                    <a:ln w="9525">
                      <a:noFill/>
                      <a:miter/>
                    </a:ln>
                  </pic:spPr>
                </pic:pic>
              </a:graphicData>
            </a:graphic>
          </wp:inline>
        </w:drawing>
      </w:r>
      <w:r>
        <w:rPr>
          <w:rFonts w:ascii="宋体" w:hAnsi="宋体" w:eastAsia="宋体" w:cs="宋体"/>
          <w:sz w:val="24"/>
          <w:szCs w:val="24"/>
        </w:rPr>
        <w:fldChar w:fldCharType="end"/>
      </w:r>
    </w:p>
    <w:p>
      <w:pPr>
        <w:jc w:val="center"/>
        <w:outlineLvl w:val="9"/>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图1-6-2</w:t>
      </w:r>
    </w:p>
    <w:p>
      <w:pPr>
        <w:spacing w:line="360" w:lineRule="auto"/>
        <w:ind w:firstLine="600" w:firstLineChars="200"/>
        <w:rPr>
          <w:rFonts w:hint="eastAsia" w:ascii="仿宋" w:hAnsi="仿宋" w:eastAsia="仿宋" w:cs="仿宋"/>
          <w:kern w:val="2"/>
          <w:sz w:val="30"/>
          <w:szCs w:val="30"/>
          <w:lang w:val="en-US" w:eastAsia="zh-CN" w:bidi="ar-SA"/>
        </w:rPr>
      </w:pPr>
      <w:r>
        <w:rPr>
          <w:rFonts w:hint="eastAsia" w:ascii="仿宋" w:hAnsi="仿宋" w:eastAsia="仿宋" w:cs="仿宋"/>
          <w:sz w:val="30"/>
          <w:szCs w:val="30"/>
          <w:lang w:val="en-US" w:eastAsia="zh-CN"/>
        </w:rPr>
        <w:t>点击【查看详情】即弹出其需求详情界面，依次列示需求送审方信息、需求接收方信息如图1-6-3。</w:t>
      </w:r>
    </w:p>
    <w:p>
      <w:r>
        <w:drawing>
          <wp:inline distT="0" distB="0" distL="114300" distR="114300">
            <wp:extent cx="5266690" cy="3322955"/>
            <wp:effectExtent l="0" t="0" r="10160" b="10795"/>
            <wp:docPr id="147"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65"/>
                    <pic:cNvPicPr>
                      <a:picLocks noChangeAspect="true"/>
                    </pic:cNvPicPr>
                  </pic:nvPicPr>
                  <pic:blipFill>
                    <a:blip r:embed="rId87"/>
                    <a:stretch>
                      <a:fillRect/>
                    </a:stretch>
                  </pic:blipFill>
                  <pic:spPr>
                    <a:xfrm>
                      <a:off x="0" y="0"/>
                      <a:ext cx="5266690" cy="3322955"/>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图1-6-3</w:t>
      </w:r>
    </w:p>
    <w:p>
      <w:pPr>
        <w:spacing w:line="360" w:lineRule="auto"/>
        <w:ind w:firstLine="600" w:firstLineChars="200"/>
        <w:jc w:val="both"/>
        <w:rPr>
          <w:rFonts w:hint="eastAsia" w:ascii="仿宋" w:hAnsi="仿宋" w:eastAsia="仿宋" w:cs="仿宋"/>
          <w:sz w:val="30"/>
          <w:szCs w:val="30"/>
          <w:highlight w:val="none"/>
          <w:lang w:val="en-US" w:eastAsia="zh-CN"/>
        </w:rPr>
      </w:pPr>
      <w:r>
        <w:rPr>
          <w:rFonts w:hint="eastAsia" w:ascii="仿宋" w:hAnsi="仿宋" w:eastAsia="仿宋" w:cs="仿宋"/>
          <w:sz w:val="30"/>
          <w:szCs w:val="30"/>
          <w:lang w:val="en-US" w:eastAsia="zh-CN"/>
        </w:rPr>
        <w:t>点击【发布需求】如图1-6-4，跳转到“我的需求发布”界面，支持新增需操作如图1-6-5。</w:t>
      </w:r>
    </w:p>
    <w:p>
      <w:pPr>
        <w:jc w:val="both"/>
      </w:pPr>
      <w:r>
        <w:drawing>
          <wp:inline distT="0" distB="0" distL="114300" distR="114300">
            <wp:extent cx="5271135" cy="3345180"/>
            <wp:effectExtent l="0" t="0" r="5715" b="7620"/>
            <wp:docPr id="148"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66"/>
                    <pic:cNvPicPr>
                      <a:picLocks noChangeAspect="true"/>
                    </pic:cNvPicPr>
                  </pic:nvPicPr>
                  <pic:blipFill>
                    <a:blip r:embed="rId88"/>
                    <a:stretch>
                      <a:fillRect/>
                    </a:stretch>
                  </pic:blipFill>
                  <pic:spPr>
                    <a:xfrm>
                      <a:off x="0" y="0"/>
                      <a:ext cx="5271135" cy="3345180"/>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图1-6-4</w:t>
      </w:r>
    </w:p>
    <w:p>
      <w:pPr>
        <w:jc w:val="center"/>
        <w:rPr>
          <w:rFonts w:hint="eastAsia" w:ascii="宋体" w:hAnsi="宋体" w:eastAsia="宋体" w:cs="宋体"/>
          <w:sz w:val="24"/>
          <w:szCs w:val="24"/>
          <w:lang w:val="en-US" w:eastAsia="zh-CN"/>
        </w:rPr>
      </w:pPr>
    </w:p>
    <w:p>
      <w:pPr>
        <w:jc w:val="center"/>
      </w:pPr>
      <w:r>
        <w:drawing>
          <wp:inline distT="0" distB="0" distL="114300" distR="114300">
            <wp:extent cx="5272405" cy="5434965"/>
            <wp:effectExtent l="0" t="0" r="4445" b="13335"/>
            <wp:docPr id="149"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67"/>
                    <pic:cNvPicPr>
                      <a:picLocks noChangeAspect="true"/>
                    </pic:cNvPicPr>
                  </pic:nvPicPr>
                  <pic:blipFill>
                    <a:blip r:embed="rId89"/>
                    <a:stretch>
                      <a:fillRect/>
                    </a:stretch>
                  </pic:blipFill>
                  <pic:spPr>
                    <a:xfrm>
                      <a:off x="0" y="0"/>
                      <a:ext cx="5272405" cy="5434965"/>
                    </a:xfrm>
                    <a:prstGeom prst="rect">
                      <a:avLst/>
                    </a:prstGeom>
                    <a:noFill/>
                    <a:ln>
                      <a:noFill/>
                    </a:ln>
                  </pic:spPr>
                </pic:pic>
              </a:graphicData>
            </a:graphic>
          </wp:inline>
        </w:drawing>
      </w:r>
    </w:p>
    <w:p>
      <w:pPr>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图1-6-5</w:t>
      </w:r>
    </w:p>
    <w:p>
      <w:pPr>
        <w:spacing w:line="540" w:lineRule="exact"/>
        <w:ind w:firstLine="300" w:firstLineChars="100"/>
        <w:jc w:val="both"/>
        <w:rPr>
          <w:rFonts w:hint="eastAsia" w:ascii="仿宋" w:hAnsi="仿宋" w:eastAsia="仿宋" w:cs="仿宋"/>
          <w:color w:val="FF0000"/>
          <w:sz w:val="30"/>
          <w:szCs w:val="30"/>
          <w:highlight w:val="none"/>
          <w:lang w:val="en-US" w:eastAsia="zh-CN"/>
        </w:rPr>
      </w:pPr>
      <w:r>
        <w:rPr>
          <w:rFonts w:hint="eastAsia" w:ascii="仿宋" w:hAnsi="仿宋" w:eastAsia="仿宋" w:cs="仿宋"/>
          <w:color w:val="FF0000"/>
          <w:sz w:val="30"/>
          <w:szCs w:val="30"/>
          <w:highlight w:val="none"/>
          <w:lang w:val="en-US" w:eastAsia="zh-CN"/>
        </w:rPr>
        <w:t>注：</w:t>
      </w:r>
    </w:p>
    <w:p>
      <w:pPr>
        <w:numPr>
          <w:ilvl w:val="0"/>
          <w:numId w:val="4"/>
        </w:numPr>
        <w:spacing w:line="540" w:lineRule="exact"/>
        <w:ind w:left="830" w:leftChars="0" w:firstLine="400"/>
        <w:jc w:val="both"/>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“本地区”页签根据登录账户的“用户类型”判断，为002-财政用户、003-预算单位用户则显示【发布需求】按钮，非为002-财政用户、003-预算单位用户则没有【发布需求】按钮；</w:t>
      </w:r>
    </w:p>
    <w:p>
      <w:pPr>
        <w:numPr>
          <w:ilvl w:val="0"/>
          <w:numId w:val="4"/>
        </w:numPr>
        <w:spacing w:line="540" w:lineRule="exact"/>
        <w:ind w:left="830" w:leftChars="0" w:firstLine="400" w:firstLineChars="0"/>
        <w:jc w:val="both"/>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“全国”页签根据登录账户的“用户类型”判断，为003-预算单位用户则显示【发布需求】按钮，非为003-预算单位用户则没有【发布需求】按钮；</w:t>
      </w:r>
    </w:p>
    <w:p>
      <w:pPr>
        <w:spacing w:line="360" w:lineRule="auto"/>
        <w:ind w:firstLine="600" w:firstLineChars="200"/>
        <w:jc w:val="both"/>
        <w:rPr>
          <w:rFonts w:hint="default"/>
          <w:sz w:val="30"/>
          <w:szCs w:val="30"/>
          <w:lang w:val="en-US" w:eastAsia="zh-CN"/>
        </w:rPr>
      </w:pPr>
      <w:r>
        <w:rPr>
          <w:rFonts w:hint="eastAsia" w:ascii="仿宋" w:hAnsi="仿宋" w:eastAsia="仿宋" w:cs="仿宋"/>
          <w:sz w:val="30"/>
          <w:szCs w:val="30"/>
          <w:lang w:val="en-US" w:eastAsia="zh-CN"/>
        </w:rPr>
        <w:t>点击【导出】</w:t>
      </w:r>
      <w:r>
        <w:rPr>
          <w:rFonts w:hint="eastAsia" w:ascii="仿宋" w:hAnsi="仿宋" w:eastAsia="仿宋" w:cs="仿宋"/>
          <w:sz w:val="30"/>
          <w:szCs w:val="30"/>
          <w:highlight w:val="none"/>
          <w:lang w:val="en-US" w:eastAsia="zh-CN"/>
        </w:rPr>
        <w:t>对查询出来的资产需求进行导出如图1-6-6。</w:t>
      </w:r>
    </w:p>
    <w:p>
      <w:pPr>
        <w:jc w:val="both"/>
      </w:pPr>
      <w:r>
        <w:drawing>
          <wp:inline distT="0" distB="0" distL="114300" distR="114300">
            <wp:extent cx="5272405" cy="4486910"/>
            <wp:effectExtent l="0" t="0" r="4445" b="8890"/>
            <wp:docPr id="150" name="图片 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68"/>
                    <pic:cNvPicPr>
                      <a:picLocks noChangeAspect="true"/>
                    </pic:cNvPicPr>
                  </pic:nvPicPr>
                  <pic:blipFill>
                    <a:blip r:embed="rId90"/>
                    <a:stretch>
                      <a:fillRect/>
                    </a:stretch>
                  </pic:blipFill>
                  <pic:spPr>
                    <a:xfrm>
                      <a:off x="0" y="0"/>
                      <a:ext cx="5272405" cy="4486910"/>
                    </a:xfrm>
                    <a:prstGeom prst="rect">
                      <a:avLst/>
                    </a:prstGeom>
                    <a:noFill/>
                    <a:ln>
                      <a:noFill/>
                    </a:ln>
                  </pic:spPr>
                </pic:pic>
              </a:graphicData>
            </a:graphic>
          </wp:inline>
        </w:drawing>
      </w:r>
    </w:p>
    <w:p>
      <w:pPr>
        <w:jc w:val="center"/>
        <w:outlineLvl w:val="9"/>
        <w:rPr>
          <w:rFonts w:hint="default"/>
          <w:lang w:val="en-US" w:eastAsia="zh-CN"/>
        </w:rPr>
      </w:pPr>
      <w:r>
        <w:rPr>
          <w:rFonts w:hint="eastAsia" w:ascii="宋体" w:hAnsi="宋体" w:eastAsia="宋体" w:cs="宋体"/>
          <w:sz w:val="24"/>
          <w:szCs w:val="24"/>
          <w:highlight w:val="none"/>
          <w:lang w:val="en-US" w:eastAsia="zh-CN"/>
        </w:rPr>
        <w:t>图1-6-6</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华文仿宋">
    <w:panose1 w:val="02010600040101010101"/>
    <w:charset w:val="86"/>
    <w:family w:val="auto"/>
    <w:pitch w:val="default"/>
    <w:sig w:usb0="00000287" w:usb1="080F0000" w:usb2="00000000" w:usb3="00000000" w:csb0="0004009F" w:csb1="DFD70000"/>
  </w:font>
  <w:font w:name="FangSong_GB2312">
    <w:panose1 w:val="02010609030101010101"/>
    <w:charset w:val="86"/>
    <w:family w:val="auto"/>
    <w:pitch w:val="default"/>
    <w:sig w:usb0="00000001" w:usb1="080E0000" w:usb2="00000000" w:usb3="00000000" w:csb0="00040000" w:csb1="00000000"/>
  </w:font>
  <w:font w:name="Arial Black">
    <w:panose1 w:val="020B0A04020102020204"/>
    <w:charset w:val="00"/>
    <w:family w:val="auto"/>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monospace">
    <w:altName w:val="汉仪仿宋S"/>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微软简仿宋">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XQu5HQ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RdC7kdAgAAKwQAAA4AAAAAAAAAAQAgAAAANQEAAGRycy9lMm9Eb2MueG1sUEsF&#10;BgAAAAAGAAYAWQEAAMQFAAAAAA==&#10;">
              <v:fill on="f" focussize="0,0"/>
              <v:stroke on="f" weight="0.5pt"/>
              <v:imagedata o:title=""/>
              <o:lock v:ext="edit" aspectratio="f"/>
              <v:textbox inset="0mm,0mm,0mm,0mm" style="mso-fit-shape-to-text:t;">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833688"/>
    <w:multiLevelType w:val="singleLevel"/>
    <w:tmpl w:val="BA833688"/>
    <w:lvl w:ilvl="0" w:tentative="0">
      <w:start w:val="1"/>
      <w:numFmt w:val="decimalEnclosedCircleChinese"/>
      <w:suff w:val="nothing"/>
      <w:lvlText w:val="%1　"/>
      <w:lvlJc w:val="left"/>
      <w:pPr>
        <w:ind w:left="830" w:firstLine="400"/>
      </w:pPr>
      <w:rPr>
        <w:rFonts w:hint="eastAsia"/>
      </w:rPr>
    </w:lvl>
  </w:abstractNum>
  <w:abstractNum w:abstractNumId="1">
    <w:nsid w:val="CC809D4F"/>
    <w:multiLevelType w:val="singleLevel"/>
    <w:tmpl w:val="CC809D4F"/>
    <w:lvl w:ilvl="0" w:tentative="0">
      <w:start w:val="1"/>
      <w:numFmt w:val="decimalEnclosedCircleChinese"/>
      <w:suff w:val="nothing"/>
      <w:lvlText w:val="%1　"/>
      <w:lvlJc w:val="left"/>
      <w:pPr>
        <w:ind w:left="830" w:firstLine="400"/>
      </w:pPr>
      <w:rPr>
        <w:rFonts w:hint="eastAsia"/>
      </w:rPr>
    </w:lvl>
  </w:abstractNum>
  <w:abstractNum w:abstractNumId="2">
    <w:nsid w:val="631D08C1"/>
    <w:multiLevelType w:val="singleLevel"/>
    <w:tmpl w:val="631D08C1"/>
    <w:lvl w:ilvl="0" w:tentative="0">
      <w:start w:val="1"/>
      <w:numFmt w:val="decimalEnclosedCircleChinese"/>
      <w:suff w:val="nothing"/>
      <w:lvlText w:val="%1　"/>
      <w:lvlJc w:val="left"/>
      <w:pPr>
        <w:ind w:left="830" w:firstLine="400"/>
      </w:pPr>
      <w:rPr>
        <w:rFonts w:hint="eastAsia"/>
      </w:rPr>
    </w:lvl>
  </w:abstractNum>
  <w:abstractNum w:abstractNumId="3">
    <w:nsid w:val="733486B3"/>
    <w:multiLevelType w:val="singleLevel"/>
    <w:tmpl w:val="733486B3"/>
    <w:lvl w:ilvl="0" w:tentative="0">
      <w:start w:val="1"/>
      <w:numFmt w:val="decimalEnclosedCircleChinese"/>
      <w:suff w:val="nothing"/>
      <w:lvlText w:val="%1　"/>
      <w:lvlJc w:val="left"/>
      <w:pPr>
        <w:ind w:left="830" w:firstLine="400"/>
      </w:pPr>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revisionView w:markup="0"/>
  <w:trackRevisions w:val="tru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wNWMzOGM0MWM0OTM0OTQ0OTk3ZjAwYWU2ZDFlZjcifQ=="/>
  </w:docVars>
  <w:rsids>
    <w:rsidRoot w:val="00000000"/>
    <w:rsid w:val="002C1A7B"/>
    <w:rsid w:val="00EE6EF6"/>
    <w:rsid w:val="02465A6F"/>
    <w:rsid w:val="03023BD6"/>
    <w:rsid w:val="061014F9"/>
    <w:rsid w:val="084E4DCF"/>
    <w:rsid w:val="08904D54"/>
    <w:rsid w:val="08B27799"/>
    <w:rsid w:val="09B368C5"/>
    <w:rsid w:val="0A6030D3"/>
    <w:rsid w:val="0A75296A"/>
    <w:rsid w:val="0ABA2473"/>
    <w:rsid w:val="0F794929"/>
    <w:rsid w:val="10D9443C"/>
    <w:rsid w:val="110E0AC1"/>
    <w:rsid w:val="11D1278A"/>
    <w:rsid w:val="1379698B"/>
    <w:rsid w:val="158765E6"/>
    <w:rsid w:val="169F6276"/>
    <w:rsid w:val="16EB39EA"/>
    <w:rsid w:val="16FC3D57"/>
    <w:rsid w:val="17614B07"/>
    <w:rsid w:val="17F375FD"/>
    <w:rsid w:val="17FF663A"/>
    <w:rsid w:val="19A63975"/>
    <w:rsid w:val="19FF34D0"/>
    <w:rsid w:val="1C803FE1"/>
    <w:rsid w:val="1D3C3C50"/>
    <w:rsid w:val="1D436C85"/>
    <w:rsid w:val="1E576164"/>
    <w:rsid w:val="1E5A70D4"/>
    <w:rsid w:val="217E0314"/>
    <w:rsid w:val="21DD196E"/>
    <w:rsid w:val="231F6825"/>
    <w:rsid w:val="24B811EF"/>
    <w:rsid w:val="259D4535"/>
    <w:rsid w:val="26513DCC"/>
    <w:rsid w:val="26CD64F7"/>
    <w:rsid w:val="26E2176C"/>
    <w:rsid w:val="29481C8E"/>
    <w:rsid w:val="2A1A2F1D"/>
    <w:rsid w:val="2ADC1861"/>
    <w:rsid w:val="2BFE4183"/>
    <w:rsid w:val="2EC632DF"/>
    <w:rsid w:val="2FBF6E64"/>
    <w:rsid w:val="31261C9F"/>
    <w:rsid w:val="32B25ABF"/>
    <w:rsid w:val="33B138B9"/>
    <w:rsid w:val="33D86EC9"/>
    <w:rsid w:val="3450519D"/>
    <w:rsid w:val="368E39CF"/>
    <w:rsid w:val="36FE8911"/>
    <w:rsid w:val="372B4783"/>
    <w:rsid w:val="385E7F6F"/>
    <w:rsid w:val="392A7CA2"/>
    <w:rsid w:val="39D8513B"/>
    <w:rsid w:val="3D980813"/>
    <w:rsid w:val="3E1E2E3B"/>
    <w:rsid w:val="3E2A5F3D"/>
    <w:rsid w:val="3F730092"/>
    <w:rsid w:val="40FF4648"/>
    <w:rsid w:val="4243625A"/>
    <w:rsid w:val="42B4399C"/>
    <w:rsid w:val="4490621C"/>
    <w:rsid w:val="44AD765B"/>
    <w:rsid w:val="452F65A3"/>
    <w:rsid w:val="45335B3F"/>
    <w:rsid w:val="46BD6B50"/>
    <w:rsid w:val="48E83663"/>
    <w:rsid w:val="4F3C5D50"/>
    <w:rsid w:val="50EA53B2"/>
    <w:rsid w:val="51EC7A20"/>
    <w:rsid w:val="52765C0C"/>
    <w:rsid w:val="531C736D"/>
    <w:rsid w:val="537C0C25"/>
    <w:rsid w:val="539D544F"/>
    <w:rsid w:val="554868D3"/>
    <w:rsid w:val="5572535A"/>
    <w:rsid w:val="57445FDF"/>
    <w:rsid w:val="58117405"/>
    <w:rsid w:val="58B5728D"/>
    <w:rsid w:val="5DF78763"/>
    <w:rsid w:val="5F366EC2"/>
    <w:rsid w:val="602F4C37"/>
    <w:rsid w:val="606C266E"/>
    <w:rsid w:val="60B11385"/>
    <w:rsid w:val="61106187"/>
    <w:rsid w:val="63945286"/>
    <w:rsid w:val="68303BFA"/>
    <w:rsid w:val="689E284D"/>
    <w:rsid w:val="68B675C8"/>
    <w:rsid w:val="6CEC759F"/>
    <w:rsid w:val="6E3AB6FB"/>
    <w:rsid w:val="6F4F0A46"/>
    <w:rsid w:val="6FEF8673"/>
    <w:rsid w:val="71482399"/>
    <w:rsid w:val="73717339"/>
    <w:rsid w:val="767F1B6F"/>
    <w:rsid w:val="787A176E"/>
    <w:rsid w:val="789675A6"/>
    <w:rsid w:val="78AA4681"/>
    <w:rsid w:val="7D9B3066"/>
    <w:rsid w:val="7DCE0C0F"/>
    <w:rsid w:val="7E8735C5"/>
    <w:rsid w:val="DEDFD5C1"/>
    <w:rsid w:val="DFDF149A"/>
    <w:rsid w:val="F3EF361C"/>
    <w:rsid w:val="F5FDA55A"/>
    <w:rsid w:val="F657F062"/>
    <w:rsid w:val="F7FD4345"/>
    <w:rsid w:val="F9FECFA6"/>
    <w:rsid w:val="FD3FFB8B"/>
    <w:rsid w:val="FEDFD8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footnote text"/>
    <w:basedOn w:val="1"/>
    <w:unhideWhenUsed/>
    <w:qFormat/>
    <w:uiPriority w:val="99"/>
    <w:pPr>
      <w:widowControl/>
      <w:snapToGrid w:val="0"/>
      <w:jc w:val="left"/>
    </w:pPr>
    <w:rPr>
      <w:rFonts w:ascii="Arial" w:hAnsi="Arial" w:eastAsia="华文仿宋" w:cs="Times New Roman"/>
      <w:kern w:val="0"/>
      <w:sz w:val="18"/>
      <w:szCs w:val="18"/>
      <w:lang w:eastAsia="en-US"/>
    </w:rPr>
  </w:style>
  <w:style w:type="paragraph" w:styleId="8">
    <w:name w:val="annotation text"/>
    <w:basedOn w:val="1"/>
    <w:qFormat/>
    <w:uiPriority w:val="0"/>
    <w:pPr>
      <w:jc w:val="left"/>
    </w:pPr>
  </w:style>
  <w:style w:type="paragraph" w:styleId="9">
    <w:name w:val="Body Text"/>
    <w:basedOn w:val="1"/>
    <w:semiHidden/>
    <w:qFormat/>
    <w:uiPriority w:val="0"/>
    <w:rPr>
      <w:rFonts w:ascii="FangSong_GB2312" w:hAnsi="FangSong_GB2312" w:eastAsia="FangSong_GB2312" w:cs="FangSong_GB2312"/>
      <w:sz w:val="31"/>
      <w:szCs w:val="31"/>
      <w:lang w:val="en-US" w:eastAsia="en-US" w:bidi="ar-SA"/>
    </w:rPr>
  </w:style>
  <w:style w:type="paragraph" w:styleId="10">
    <w:name w:val="toc 3"/>
    <w:basedOn w:val="1"/>
    <w:next w:val="1"/>
    <w:unhideWhenUsed/>
    <w:qFormat/>
    <w:uiPriority w:val="39"/>
    <w:pPr>
      <w:tabs>
        <w:tab w:val="left" w:pos="1687"/>
        <w:tab w:val="right" w:leader="dot" w:pos="8296"/>
      </w:tabs>
      <w:ind w:left="848" w:leftChars="303"/>
    </w:pPr>
  </w:style>
  <w:style w:type="paragraph" w:styleId="11">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pPr>
      <w:tabs>
        <w:tab w:val="left" w:pos="1260"/>
        <w:tab w:val="right" w:leader="dot" w:pos="8296"/>
      </w:tabs>
      <w:jc w:val="left"/>
    </w:pPr>
  </w:style>
  <w:style w:type="paragraph" w:styleId="14">
    <w:name w:val="toc 2"/>
    <w:basedOn w:val="1"/>
    <w:next w:val="1"/>
    <w:unhideWhenUsed/>
    <w:qFormat/>
    <w:uiPriority w:val="39"/>
    <w:pPr>
      <w:tabs>
        <w:tab w:val="left" w:pos="1260"/>
        <w:tab w:val="right" w:leader="dot" w:pos="8296"/>
      </w:tabs>
      <w:ind w:left="560" w:leftChars="200"/>
      <w:jc w:val="left"/>
    </w:pPr>
  </w:style>
  <w:style w:type="paragraph" w:customStyle="1" w:styleId="17">
    <w:name w:val="my正文"/>
    <w:basedOn w:val="1"/>
    <w:qFormat/>
    <w:uiPriority w:val="0"/>
    <w:pPr>
      <w:ind w:firstLine="480" w:firstLineChars="200"/>
    </w:pPr>
    <w:rPr>
      <w:rFonts w:ascii="Times New Roman" w:hAnsi="Times New Roman" w:eastAsia="宋体" w:cs="Times New Roman"/>
      <w:sz w:val="24"/>
      <w:szCs w:val="24"/>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4" Type="http://schemas.openxmlformats.org/officeDocument/2006/relationships/glossaryDocument" Target="glossary/document.xml"/><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72.png"/><Relationship Id="rId9" Type="http://schemas.openxmlformats.org/officeDocument/2006/relationships/image" Target="media/image2.png"/><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file:///C:\Users\&#21556;&#24212;&#32724;\AppData\Roaming\LanxinSoftCustom\Resource\Pictures\524288\lanxin_20250529143350.png" TargetMode="External"/><Relationship Id="rId85" Type="http://schemas.openxmlformats.org/officeDocument/2006/relationships/image" Target="media/image68.png"/><Relationship Id="rId84" Type="http://schemas.openxmlformats.org/officeDocument/2006/relationships/image" Target="file:///C:\Users\&#21556;&#24212;&#32724;\AppData\Roaming\LanxinSoftCustom\Resource\Pictures\524288\lanxin_20250529143244.png" TargetMode="External"/><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image" Target="file:///C:\Users\&#21556;&#24212;&#32724;\AppData\Roaming\LanxinSoftCustom\Resource\Pictures\524288\lanxin_20250529103650.png" TargetMode="Externa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image" Target="media/image1.png"/><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theme" Target="theme/theme1.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file:///C:\Users\&#21556;&#24212;&#32724;\AppData\Roaming\LanxinSoftCustom\Resource\Pictures\524288\lanxin_20250529112613.png" TargetMode="External"/><Relationship Id="rId56" Type="http://schemas.openxmlformats.org/officeDocument/2006/relationships/image" Target="media/image41.png"/><Relationship Id="rId55" Type="http://schemas.openxmlformats.org/officeDocument/2006/relationships/image" Target="file:///C:\Users\&#21556;&#24212;&#32724;\AppData\Roaming\LanxinSoftCustom\Resource\Pictures\524288\lanxin_20250529112114.png" TargetMode="External"/><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2.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file:///C:\Users\&#21556;&#24212;&#32724;\AppData\Roaming\LanxinSoftCustom\Resource\Pictures\524288\lanxin_20250529110753.png" TargetMode="Externa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file:///C:\Users\&#21556;&#24212;&#32724;\AppData\Roaming\LanxinSoftCustom\Resource\Pictures\524288\lanxin_20250529105451.png" TargetMode="External"/><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file:///C:\Users\&#21556;&#24212;&#32724;\AppData\Roaming\LanxinSoftCustom\Resource\Pictures\524288\lanxin_20250529105341.png" TargetMode="External"/><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file:///C:\Users\&#21556;&#24212;&#32724;\AppData\Roaming\LanxinSoftCustom\Resource\Pictures\524288\lanxin_20250529103006.png" TargetMode="Externa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file:///C:\Users\&#21556;&#24212;&#32724;\AppData\Roaming\LanxinSoftCustom\Resource\Pictures\524288\lanxin_20250529102335.png" TargetMode="Externa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file:///C:\Users\&#21556;&#24212;&#32724;\AppData\Roaming\LanxinSoftCustom\Resource\Pictures\524288\lanxin_20250529102131.png" TargetMode="Externa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file:///C:\Users\&#21556;&#24212;&#32724;\AppData\Roaming\LanxinSoftCustom\Resource\Pictures\524288\lanxin_20250529093041.png" TargetMode="Externa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67951ea-1a39-4a9e-91c4-8164c12f3b81}"/>
        <w:style w:val=""/>
        <w:category>
          <w:name w:val="常规"/>
          <w:gallery w:val="placeholder"/>
        </w:category>
        <w:types>
          <w:type w:val="bbPlcHdr"/>
        </w:types>
        <w:behaviors>
          <w:behavior w:val="content"/>
        </w:behaviors>
        <w:description w:val=""/>
        <w:guid w:val="{967951ea-1a39-4a9e-91c4-8164c12f3b81}"/>
      </w:docPartPr>
      <w:docPartBody>
        <w:p>
          <w:r>
            <w:rPr>
              <w:color w:val="808080"/>
            </w:rPr>
            <w:t>单击此处输入文字。</w:t>
          </w:r>
        </w:p>
      </w:docPartBody>
    </w:docPart>
    <w:docPart>
      <w:docPartPr>
        <w:name w:val="{9e9bcdb0-b52c-44a7-a922-cc9b9ba02b67}"/>
        <w:style w:val=""/>
        <w:category>
          <w:name w:val="常规"/>
          <w:gallery w:val="placeholder"/>
        </w:category>
        <w:types>
          <w:type w:val="bbPlcHdr"/>
        </w:types>
        <w:behaviors>
          <w:behavior w:val="content"/>
        </w:behaviors>
        <w:description w:val=""/>
        <w:guid w:val="{9e9bcdb0-b52c-44a7-a922-cc9b9ba02b67}"/>
      </w:docPartPr>
      <w:docPartBody>
        <w:p>
          <w:r>
            <w:rPr>
              <w:color w:val="808080"/>
            </w:rPr>
            <w:t>单击此处输入文字。</w:t>
          </w:r>
        </w:p>
      </w:docPartBody>
    </w:docPart>
    <w:docPart>
      <w:docPartPr>
        <w:name w:val="{8c5cc456-8b51-44fb-a16f-ac78d63a9888}"/>
        <w:style w:val=""/>
        <w:category>
          <w:name w:val="常规"/>
          <w:gallery w:val="placeholder"/>
        </w:category>
        <w:types>
          <w:type w:val="bbPlcHdr"/>
        </w:types>
        <w:behaviors>
          <w:behavior w:val="content"/>
        </w:behaviors>
        <w:description w:val=""/>
        <w:guid w:val="{8c5cc456-8b51-44fb-a16f-ac78d63a9888}"/>
      </w:docPartPr>
      <w:docPartBody>
        <w:p>
          <w:r>
            <w:rPr>
              <w:color w:val="808080"/>
            </w:rPr>
            <w:t>单击此处输入文字。</w:t>
          </w:r>
        </w:p>
      </w:docPartBody>
    </w:docPart>
    <w:docPart>
      <w:docPartPr>
        <w:name w:val="{5bf5ae56-10aa-47b1-ac8d-65a3f8102c18}"/>
        <w:style w:val=""/>
        <w:category>
          <w:name w:val="常规"/>
          <w:gallery w:val="placeholder"/>
        </w:category>
        <w:types>
          <w:type w:val="bbPlcHdr"/>
        </w:types>
        <w:behaviors>
          <w:behavior w:val="content"/>
        </w:behaviors>
        <w:description w:val=""/>
        <w:guid w:val="{5bf5ae56-10aa-47b1-ac8d-65a3f8102c18}"/>
      </w:docPartPr>
      <w:docPartBody>
        <w:p>
          <w:r>
            <w:rPr>
              <w:color w:val="808080"/>
            </w:rPr>
            <w:t>单击此处输入文字。</w:t>
          </w:r>
        </w:p>
      </w:docPartBody>
    </w:docPart>
    <w:docPart>
      <w:docPartPr>
        <w:name w:val="{e9f567a2-b5fc-4c87-8ea7-5c60754f6666}"/>
        <w:style w:val=""/>
        <w:category>
          <w:name w:val="常规"/>
          <w:gallery w:val="placeholder"/>
        </w:category>
        <w:types>
          <w:type w:val="bbPlcHdr"/>
        </w:types>
        <w:behaviors>
          <w:behavior w:val="content"/>
        </w:behaviors>
        <w:description w:val=""/>
        <w:guid w:val="{e9f567a2-b5fc-4c87-8ea7-5c60754f6666}"/>
      </w:docPartPr>
      <w:docPartBody>
        <w:p>
          <w:r>
            <w:rPr>
              <w:color w:val="808080"/>
            </w:rPr>
            <w:t>单击此处输入文字。</w:t>
          </w:r>
        </w:p>
      </w:docPartBody>
    </w:docPart>
    <w:docPart>
      <w:docPartPr>
        <w:name w:val="{9190e914-9414-4d96-90c5-421328880cd0}"/>
        <w:style w:val=""/>
        <w:category>
          <w:name w:val="常规"/>
          <w:gallery w:val="placeholder"/>
        </w:category>
        <w:types>
          <w:type w:val="bbPlcHdr"/>
        </w:types>
        <w:behaviors>
          <w:behavior w:val="content"/>
        </w:behaviors>
        <w:description w:val=""/>
        <w:guid w:val="{9190e914-9414-4d96-90c5-421328880cd0}"/>
      </w:docPartPr>
      <w:docPartBody>
        <w:p>
          <w:r>
            <w:rPr>
              <w:color w:val="808080"/>
            </w:rPr>
            <w:t>单击此处输入文字。</w:t>
          </w:r>
        </w:p>
      </w:docPartBody>
    </w:docPart>
    <w:docPart>
      <w:docPartPr>
        <w:name w:val="{c2f3d60f-e5af-4344-abe7-31b70e3ad68b}"/>
        <w:style w:val=""/>
        <w:category>
          <w:name w:val="常规"/>
          <w:gallery w:val="placeholder"/>
        </w:category>
        <w:types>
          <w:type w:val="bbPlcHdr"/>
        </w:types>
        <w:behaviors>
          <w:behavior w:val="content"/>
        </w:behaviors>
        <w:description w:val=""/>
        <w:guid w:val="{c2f3d60f-e5af-4344-abe7-31b70e3ad68b}"/>
      </w:docPartPr>
      <w:docPartBody>
        <w:p>
          <w:r>
            <w:rPr>
              <w:color w:val="808080"/>
            </w:rPr>
            <w:t>单击此处输入文字。</w:t>
          </w:r>
        </w:p>
      </w:docPartBody>
    </w:docPart>
    <w:docPart>
      <w:docPartPr>
        <w:name w:val="{82764b06-e8f6-4319-8198-f3d68c826045}"/>
        <w:style w:val=""/>
        <w:category>
          <w:name w:val="常规"/>
          <w:gallery w:val="placeholder"/>
        </w:category>
        <w:types>
          <w:type w:val="bbPlcHdr"/>
        </w:types>
        <w:behaviors>
          <w:behavior w:val="content"/>
        </w:behaviors>
        <w:description w:val=""/>
        <w:guid w:val="{82764b06-e8f6-4319-8198-f3d68c826045}"/>
      </w:docPartPr>
      <w:docPartBody>
        <w:p>
          <w:r>
            <w:rPr>
              <w:color w:val="808080"/>
            </w:rPr>
            <w:t>单击此处输入文字。</w:t>
          </w:r>
        </w:p>
      </w:docPartBody>
    </w:docPart>
    <w:docPart>
      <w:docPartPr>
        <w:name w:val="{b4e23535-5b5f-4dd4-baec-21f21cdddecc}"/>
        <w:style w:val=""/>
        <w:category>
          <w:name w:val="常规"/>
          <w:gallery w:val="placeholder"/>
        </w:category>
        <w:types>
          <w:type w:val="bbPlcHdr"/>
        </w:types>
        <w:behaviors>
          <w:behavior w:val="content"/>
        </w:behaviors>
        <w:description w:val=""/>
        <w:guid w:val="{b4e23535-5b5f-4dd4-baec-21f21cdddecc}"/>
      </w:docPartPr>
      <w:docPartBody>
        <w:p>
          <w:r>
            <w:rPr>
              <w:color w:val="808080"/>
            </w:rPr>
            <w:t>单击此处输入文字。</w:t>
          </w:r>
        </w:p>
      </w:docPartBody>
    </w:docPart>
    <w:docPart>
      <w:docPartPr>
        <w:name w:val="{3d818618-643e-4739-9973-d501988e675f}"/>
        <w:style w:val=""/>
        <w:category>
          <w:name w:val="常规"/>
          <w:gallery w:val="placeholder"/>
        </w:category>
        <w:types>
          <w:type w:val="bbPlcHdr"/>
        </w:types>
        <w:behaviors>
          <w:behavior w:val="content"/>
        </w:behaviors>
        <w:description w:val=""/>
        <w:guid w:val="{3d818618-643e-4739-9973-d501988e675f}"/>
      </w:docPartPr>
      <w:docPartBody>
        <w:p>
          <w:r>
            <w:rPr>
              <w:color w:val="808080"/>
            </w:rPr>
            <w:t>单击此处输入文字。</w:t>
          </w:r>
        </w:p>
      </w:docPartBody>
    </w:docPart>
    <w:docPart>
      <w:docPartPr>
        <w:name w:val="{70ea180b-931d-4914-a365-ccbaef0110d7}"/>
        <w:style w:val=""/>
        <w:category>
          <w:name w:val="常规"/>
          <w:gallery w:val="placeholder"/>
        </w:category>
        <w:types>
          <w:type w:val="bbPlcHdr"/>
        </w:types>
        <w:behaviors>
          <w:behavior w:val="content"/>
        </w:behaviors>
        <w:description w:val=""/>
        <w:guid w:val="{70ea180b-931d-4914-a365-ccbaef0110d7}"/>
      </w:docPartPr>
      <w:docPartBody>
        <w:p>
          <w:r>
            <w:rPr>
              <w:color w:val="808080"/>
            </w:rPr>
            <w:t>单击此处输入文字。</w:t>
          </w:r>
        </w:p>
      </w:docPartBody>
    </w:docPart>
    <w:docPart>
      <w:docPartPr>
        <w:name w:val="{d7b17f58-c761-473b-afbc-8e75c677f740}"/>
        <w:style w:val=""/>
        <w:category>
          <w:name w:val="常规"/>
          <w:gallery w:val="placeholder"/>
        </w:category>
        <w:types>
          <w:type w:val="bbPlcHdr"/>
        </w:types>
        <w:behaviors>
          <w:behavior w:val="content"/>
        </w:behaviors>
        <w:description w:val=""/>
        <w:guid w:val="{d7b17f58-c761-473b-afbc-8e75c677f740}"/>
      </w:docPartPr>
      <w:docPartBody>
        <w:p>
          <w:r>
            <w:rPr>
              <w:color w:val="808080"/>
            </w:rPr>
            <w:t>单击此处输入文字。</w:t>
          </w:r>
        </w:p>
      </w:docPartBody>
    </w:docPart>
    <w:docPart>
      <w:docPartPr>
        <w:name w:val="{4d58979e-9de4-4ce6-a35b-e0a2b5146f24}"/>
        <w:style w:val=""/>
        <w:category>
          <w:name w:val="常规"/>
          <w:gallery w:val="placeholder"/>
        </w:category>
        <w:types>
          <w:type w:val="bbPlcHdr"/>
        </w:types>
        <w:behaviors>
          <w:behavior w:val="content"/>
        </w:behaviors>
        <w:description w:val=""/>
        <w:guid w:val="{4d58979e-9de4-4ce6-a35b-e0a2b5146f24}"/>
      </w:docPartPr>
      <w:docPartBody>
        <w:p>
          <w:r>
            <w:rPr>
              <w:color w:val="808080"/>
            </w:rPr>
            <w:t>单击此处输入文字。</w:t>
          </w:r>
        </w:p>
      </w:docPartBody>
    </w:docPart>
    <w:docPart>
      <w:docPartPr>
        <w:name w:val="{f9a129c7-97cc-49d0-8531-feef9923c816}"/>
        <w:style w:val=""/>
        <w:category>
          <w:name w:val="常规"/>
          <w:gallery w:val="placeholder"/>
        </w:category>
        <w:types>
          <w:type w:val="bbPlcHdr"/>
        </w:types>
        <w:behaviors>
          <w:behavior w:val="content"/>
        </w:behaviors>
        <w:description w:val=""/>
        <w:guid w:val="{f9a129c7-97cc-49d0-8531-feef9923c816}"/>
      </w:docPartPr>
      <w:docPartBody>
        <w:p>
          <w:r>
            <w:rPr>
              <w:color w:val="808080"/>
            </w:rPr>
            <w:t>单击此处输入文字。</w:t>
          </w:r>
        </w:p>
      </w:docPartBody>
    </w:docPart>
    <w:docPart>
      <w:docPartPr>
        <w:name w:val="{2328498f-d0ac-46a4-83cf-fe4aedcba69d}"/>
        <w:style w:val=""/>
        <w:category>
          <w:name w:val="常规"/>
          <w:gallery w:val="placeholder"/>
        </w:category>
        <w:types>
          <w:type w:val="bbPlcHdr"/>
        </w:types>
        <w:behaviors>
          <w:behavior w:val="content"/>
        </w:behaviors>
        <w:description w:val=""/>
        <w:guid w:val="{2328498f-d0ac-46a4-83cf-fe4aedcba69d}"/>
      </w:docPartPr>
      <w:docPartBody>
        <w:p>
          <w:r>
            <w:rPr>
              <w:color w:val="808080"/>
            </w:rPr>
            <w:t>单击此处输入文字。</w:t>
          </w:r>
        </w:p>
      </w:docPartBody>
    </w:docPart>
    <w:docPart>
      <w:docPartPr>
        <w:name w:val="{b41d0304-8d9f-4336-949b-690586934a3d}"/>
        <w:style w:val=""/>
        <w:category>
          <w:name w:val="常规"/>
          <w:gallery w:val="placeholder"/>
        </w:category>
        <w:types>
          <w:type w:val="bbPlcHdr"/>
        </w:types>
        <w:behaviors>
          <w:behavior w:val="content"/>
        </w:behaviors>
        <w:description w:val=""/>
        <w:guid w:val="{b41d0304-8d9f-4336-949b-690586934a3d}"/>
      </w:docPartPr>
      <w:docPartBody>
        <w:p>
          <w:r>
            <w:rPr>
              <w:color w:val="808080"/>
            </w:rPr>
            <w:t>单击此处输入文字。</w:t>
          </w:r>
        </w:p>
      </w:docPartBody>
    </w:docPart>
    <w:docPart>
      <w:docPartPr>
        <w:name w:val="{774b83d1-2f9c-42e6-9c81-79ee178fc707}"/>
        <w:style w:val=""/>
        <w:category>
          <w:name w:val="常规"/>
          <w:gallery w:val="placeholder"/>
        </w:category>
        <w:types>
          <w:type w:val="bbPlcHdr"/>
        </w:types>
        <w:behaviors>
          <w:behavior w:val="content"/>
        </w:behaviors>
        <w:description w:val=""/>
        <w:guid w:val="{774b83d1-2f9c-42e6-9c81-79ee178fc707}"/>
      </w:docPartPr>
      <w:docPartBody>
        <w:p>
          <w:r>
            <w:rPr>
              <w:color w:val="808080"/>
            </w:rPr>
            <w:t>单击此处输入文字。</w:t>
          </w:r>
        </w:p>
      </w:docPartBody>
    </w:docPart>
    <w:docPart>
      <w:docPartPr>
        <w:name w:val="{53c0449b-2129-4076-a216-9574745ecd54}"/>
        <w:style w:val=""/>
        <w:category>
          <w:name w:val="常规"/>
          <w:gallery w:val="placeholder"/>
        </w:category>
        <w:types>
          <w:type w:val="bbPlcHdr"/>
        </w:types>
        <w:behaviors>
          <w:behavior w:val="content"/>
        </w:behaviors>
        <w:description w:val=""/>
        <w:guid w:val="{53c0449b-2129-4076-a216-9574745ecd54}"/>
      </w:docPartPr>
      <w:docPartBody>
        <w:p>
          <w:r>
            <w:rPr>
              <w:color w:val="808080"/>
            </w:rPr>
            <w:t>单击此处输入文字。</w:t>
          </w:r>
        </w:p>
      </w:docPartBody>
    </w:docPart>
    <w:docPart>
      <w:docPartPr>
        <w:name w:val="{c8664fe8-a7d8-483d-bfdf-616633b12a7b}"/>
        <w:style w:val=""/>
        <w:category>
          <w:name w:val="常规"/>
          <w:gallery w:val="placeholder"/>
        </w:category>
        <w:types>
          <w:type w:val="bbPlcHdr"/>
        </w:types>
        <w:behaviors>
          <w:behavior w:val="content"/>
        </w:behaviors>
        <w:description w:val=""/>
        <w:guid w:val="{c8664fe8-a7d8-483d-bfdf-616633b12a7b}"/>
      </w:docPartPr>
      <w:docPartBody>
        <w:p>
          <w:r>
            <w:rPr>
              <w:color w:val="808080"/>
            </w:rPr>
            <w:t>单击此处输入文字。</w:t>
          </w:r>
        </w:p>
      </w:docPartBody>
    </w:docPart>
    <w:docPart>
      <w:docPartPr>
        <w:name w:val="{2db96806-87ea-4ec8-b9a5-d03392faf098}"/>
        <w:style w:val=""/>
        <w:category>
          <w:name w:val="常规"/>
          <w:gallery w:val="placeholder"/>
        </w:category>
        <w:types>
          <w:type w:val="bbPlcHdr"/>
        </w:types>
        <w:behaviors>
          <w:behavior w:val="content"/>
        </w:behaviors>
        <w:description w:val=""/>
        <w:guid w:val="{2db96806-87ea-4ec8-b9a5-d03392faf098}"/>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A0000287" w:usb1="28C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0</Words>
  <Characters>0</Characters>
  <Lines>0</Lines>
  <Paragraphs>0</Paragraphs>
  <TotalTime>19</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2025-05-08T04:45:00Z</dcterms:created>
  <dc:creator>admin</dc:creator>
  <cp:lastModifiedBy>uos</cp:lastModifiedBy>
  <cp:lastPrinted>2025-06-10T09:17:30Z</cp:lastPrinted>
  <dcterms:modified xsi:type="dcterms:W3CDTF">2025-06-10T09:42:53Z</dcterms:modified>
  <dc:title>海南省预算管理一体化系统</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E6F1A767A5E047FEAB93E59701618F34_12</vt:lpwstr>
  </property>
</Properties>
</file>