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Times New Roman" w:hAnsi="Times New Roman" w:eastAsia="宋体" w:cs="Times New Roman"/>
          <w:b/>
          <w:sz w:val="44"/>
          <w:szCs w:val="44"/>
        </w:rPr>
      </w:pPr>
      <w:r>
        <w:rPr>
          <w:rFonts w:ascii="Times New Roman" w:hAnsi="Times New Roman" w:eastAsia="宋体" w:cs="Times New Roman"/>
          <w:b/>
          <w:sz w:val="44"/>
          <w:szCs w:val="44"/>
        </w:rPr>
        <w:t>关于201</w:t>
      </w:r>
      <w:r>
        <w:rPr>
          <w:rFonts w:hint="eastAsia" w:ascii="Times New Roman" w:hAnsi="Times New Roman" w:eastAsia="宋体" w:cs="Times New Roman"/>
          <w:b/>
          <w:sz w:val="44"/>
          <w:szCs w:val="44"/>
        </w:rPr>
        <w:t>9</w:t>
      </w:r>
      <w:r>
        <w:rPr>
          <w:rFonts w:ascii="Times New Roman" w:hAnsi="Times New Roman" w:eastAsia="宋体" w:cs="Times New Roman"/>
          <w:b/>
          <w:sz w:val="44"/>
          <w:szCs w:val="44"/>
        </w:rPr>
        <w:t>年</w:t>
      </w:r>
      <w:bookmarkStart w:id="0" w:name="_GoBack"/>
      <w:bookmarkEnd w:id="0"/>
      <w:r>
        <w:rPr>
          <w:rFonts w:ascii="Times New Roman" w:hAnsi="Times New Roman" w:eastAsia="宋体" w:cs="Times New Roman"/>
          <w:b/>
          <w:sz w:val="44"/>
          <w:szCs w:val="44"/>
        </w:rPr>
        <w:t>海南省省级一般公共预算</w:t>
      </w:r>
    </w:p>
    <w:p>
      <w:pPr>
        <w:jc w:val="center"/>
        <w:rPr>
          <w:rFonts w:ascii="Times New Roman" w:hAnsi="Times New Roman" w:eastAsia="宋体" w:cs="Times New Roman"/>
          <w:b/>
          <w:sz w:val="44"/>
          <w:szCs w:val="44"/>
        </w:rPr>
      </w:pPr>
      <w:r>
        <w:rPr>
          <w:rFonts w:ascii="Times New Roman" w:hAnsi="Times New Roman" w:eastAsia="宋体" w:cs="Times New Roman"/>
          <w:b/>
          <w:sz w:val="44"/>
          <w:szCs w:val="44"/>
        </w:rPr>
        <w:t>收入预算的说明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201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9</w:t>
      </w:r>
      <w:r>
        <w:rPr>
          <w:rFonts w:ascii="Times New Roman" w:hAnsi="Times New Roman" w:eastAsia="仿宋_GB2312" w:cs="Times New Roman"/>
          <w:sz w:val="32"/>
          <w:szCs w:val="32"/>
        </w:rPr>
        <w:t>年省本级一般公共预算总收入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1322.7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下降11.1</w:t>
      </w:r>
      <w:r>
        <w:rPr>
          <w:rFonts w:ascii="Times New Roman" w:hAnsi="Times New Roman" w:eastAsia="仿宋_GB2312" w:cs="Times New Roman"/>
          <w:sz w:val="32"/>
          <w:szCs w:val="32"/>
        </w:rPr>
        <w:t>%（同口径与201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年完成数对比，下同）。具体构成情况如下：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　　一、2019年省本级一般公共预算收入预算数287.5亿元，增长8%，主要根据年度经济发展因素预计。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1.国内增值税预算数为71亿元，增长18.4%，主要根据房地产、工业、商业、固定资产投资等预计增长情况，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招商引资</w:t>
      </w:r>
      <w:r>
        <w:rPr>
          <w:rFonts w:ascii="Times New Roman" w:hAnsi="Times New Roman" w:eastAsia="仿宋_GB2312" w:cs="Times New Roman"/>
          <w:sz w:val="32"/>
          <w:szCs w:val="32"/>
        </w:rPr>
        <w:t>落户企业投资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结算额等因素测算。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2.企业所得税预算数为40亿元，增长8.8%，主要根据2018-2019年我省企业利润预计增长情况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总部企业落户情况等因素测算。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　　3.个人所得税预算数为10亿元，增长4.8%，主要根据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我省2019年</w:t>
      </w:r>
      <w:r>
        <w:rPr>
          <w:rFonts w:ascii="Times New Roman" w:hAnsi="Times New Roman" w:eastAsia="仿宋_GB2312" w:cs="Times New Roman"/>
          <w:sz w:val="32"/>
          <w:szCs w:val="32"/>
        </w:rPr>
        <w:t>居民收入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预计</w:t>
      </w:r>
      <w:r>
        <w:rPr>
          <w:rFonts w:ascii="Times New Roman" w:hAnsi="Times New Roman" w:eastAsia="仿宋_GB2312" w:cs="Times New Roman"/>
          <w:sz w:val="32"/>
          <w:szCs w:val="32"/>
        </w:rPr>
        <w:t>增长目标、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企业数量增加</w:t>
      </w:r>
      <w:r>
        <w:rPr>
          <w:rFonts w:ascii="Times New Roman" w:hAnsi="Times New Roman" w:eastAsia="仿宋_GB2312" w:cs="Times New Roman"/>
          <w:sz w:val="32"/>
          <w:szCs w:val="32"/>
        </w:rPr>
        <w:t>，股权财产转让所得增长趋势依然会延续，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同时考虑</w:t>
      </w:r>
      <w:r>
        <w:rPr>
          <w:rFonts w:ascii="Times New Roman" w:hAnsi="Times New Roman" w:eastAsia="仿宋_GB2312" w:cs="Times New Roman"/>
          <w:sz w:val="32"/>
          <w:szCs w:val="32"/>
        </w:rPr>
        <w:t>个人所得税政策调整的影响等因素测算。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　　4.城市维护建设税预算数为7亿元，增长26.7%，主要根据与计征相关的增值税、消费税预计增长情况测算。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5.房产税预算数5.5亿元，增长19.7%，主要是根据应税房屋保有量等情况测算。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6.土地增值税预算数93.5亿元，增长7.5%，主要根据2018-2019年我省年房屋销售情况和达到清算条件的房地产项目情况测算。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7.契税预算数28.3亿元，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下降2</w:t>
      </w:r>
      <w:r>
        <w:rPr>
          <w:rFonts w:ascii="Times New Roman" w:hAnsi="Times New Roman" w:eastAsia="仿宋_GB2312" w:cs="Times New Roman"/>
          <w:sz w:val="32"/>
          <w:szCs w:val="32"/>
        </w:rPr>
        <w:t>%，主要是根据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史上最严格</w:t>
      </w:r>
      <w:r>
        <w:rPr>
          <w:rFonts w:ascii="Times New Roman" w:hAnsi="Times New Roman" w:eastAsia="仿宋_GB2312" w:cs="Times New Roman"/>
          <w:sz w:val="32"/>
          <w:szCs w:val="32"/>
        </w:rPr>
        <w:t>限购政策实施后2018-2019年我省房屋、土地销售预计情况测算。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8.城镇土地使用税预算数6.9亿元，增长21%，主要根据我省应税土地保有量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税务部门征管等情况测算。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9.专项收入预算数为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9.8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增长21.3</w:t>
      </w:r>
      <w:r>
        <w:rPr>
          <w:rFonts w:ascii="Times New Roman" w:hAnsi="Times New Roman" w:eastAsia="仿宋_GB2312" w:cs="Times New Roman"/>
          <w:sz w:val="32"/>
          <w:szCs w:val="32"/>
        </w:rPr>
        <w:t>%，主要是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农田水利建设资金和教育资金</w:t>
      </w:r>
      <w:r>
        <w:rPr>
          <w:rFonts w:ascii="Times New Roman" w:hAnsi="Times New Roman" w:eastAsia="仿宋_GB2312" w:cs="Times New Roman"/>
          <w:sz w:val="32"/>
          <w:szCs w:val="32"/>
        </w:rPr>
        <w:t>预计收入比201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增加。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10.行政事业性收费收入预算数为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6.7</w:t>
      </w:r>
      <w:r>
        <w:rPr>
          <w:rFonts w:ascii="Times New Roman" w:hAnsi="Times New Roman" w:eastAsia="仿宋_GB2312" w:cs="Times New Roman"/>
          <w:sz w:val="32"/>
          <w:szCs w:val="32"/>
        </w:rPr>
        <w:t>亿元，下降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5.9</w:t>
      </w:r>
      <w:r>
        <w:rPr>
          <w:rFonts w:ascii="Times New Roman" w:hAnsi="Times New Roman" w:eastAsia="仿宋_GB2312" w:cs="Times New Roman"/>
          <w:sz w:val="32"/>
          <w:szCs w:val="32"/>
        </w:rPr>
        <w:t>%，主要是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受国家降费减负措施，以及房地产项目建设减少等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因素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影响，行政事业收费预计减收。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11.罚没收入预算数为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1.8</w:t>
      </w:r>
      <w:r>
        <w:rPr>
          <w:rFonts w:ascii="Times New Roman" w:hAnsi="Times New Roman" w:eastAsia="仿宋_GB2312" w:cs="Times New Roman"/>
          <w:sz w:val="32"/>
          <w:szCs w:val="32"/>
        </w:rPr>
        <w:t>亿元，下降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64.4</w:t>
      </w:r>
      <w:r>
        <w:rPr>
          <w:rFonts w:ascii="Times New Roman" w:hAnsi="Times New Roman" w:eastAsia="仿宋_GB2312" w:cs="Times New Roman"/>
          <w:sz w:val="32"/>
          <w:szCs w:val="32"/>
        </w:rPr>
        <w:t>%，主要是根据公检法司等执法单位预计情况测算。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12.国有资源（资产）有偿使用收入预算数为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6.2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下降12.8</w:t>
      </w:r>
      <w:r>
        <w:rPr>
          <w:rFonts w:ascii="Times New Roman" w:hAnsi="Times New Roman" w:eastAsia="仿宋_GB2312" w:cs="Times New Roman"/>
          <w:sz w:val="32"/>
          <w:szCs w:val="32"/>
        </w:rPr>
        <w:t>%，主要是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2018年国有资产处置及各单位清缴历年资产出租收入等一次性因素，抬高了对比基数。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13.其他收入预算数为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0.6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增长4.9</w:t>
      </w:r>
      <w:r>
        <w:rPr>
          <w:rFonts w:ascii="Times New Roman" w:hAnsi="Times New Roman" w:eastAsia="仿宋_GB2312" w:cs="Times New Roman"/>
          <w:sz w:val="32"/>
          <w:szCs w:val="32"/>
        </w:rPr>
        <w:t>%，主要是根据单位申报的征收计划测算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二、债务收入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150.5</w:t>
      </w:r>
      <w:r>
        <w:rPr>
          <w:rFonts w:ascii="Times New Roman" w:hAnsi="Times New Roman" w:eastAsia="仿宋_GB2312" w:cs="Times New Roman"/>
          <w:sz w:val="32"/>
          <w:szCs w:val="32"/>
        </w:rPr>
        <w:t>亿元，主要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包括财政部提前下达新增一般债券81亿元以及</w:t>
      </w:r>
      <w:r>
        <w:rPr>
          <w:rFonts w:ascii="Times New Roman" w:hAnsi="Times New Roman" w:eastAsia="仿宋_GB2312" w:cs="Times New Roman"/>
          <w:sz w:val="32"/>
          <w:szCs w:val="32"/>
        </w:rPr>
        <w:t>201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9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政府再融资一般债券。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三、中央补助收入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730.6</w:t>
      </w:r>
      <w:r>
        <w:rPr>
          <w:rFonts w:ascii="Times New Roman" w:hAnsi="Times New Roman" w:eastAsia="仿宋_GB2312" w:cs="Times New Roman"/>
          <w:sz w:val="32"/>
          <w:szCs w:val="32"/>
        </w:rPr>
        <w:t>亿元，下降1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2.1</w:t>
      </w:r>
      <w:r>
        <w:rPr>
          <w:rFonts w:ascii="Times New Roman" w:hAnsi="Times New Roman" w:eastAsia="仿宋_GB2312" w:cs="Times New Roman"/>
          <w:sz w:val="32"/>
          <w:szCs w:val="32"/>
        </w:rPr>
        <w:t>%，主要是中央补助收入是按照财政部对我省的提前下达数进行编列，小于201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年完成数。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四、市县上解收入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63.9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下降51%，</w:t>
      </w:r>
      <w:r>
        <w:rPr>
          <w:rFonts w:ascii="Times New Roman" w:hAnsi="Times New Roman" w:eastAsia="仿宋_GB2312" w:cs="Times New Roman"/>
          <w:sz w:val="32"/>
          <w:szCs w:val="32"/>
        </w:rPr>
        <w:t>主要是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2018年预算中存在</w:t>
      </w:r>
      <w:r>
        <w:rPr>
          <w:rFonts w:ascii="Times New Roman" w:hAnsi="Times New Roman" w:eastAsia="仿宋_GB2312" w:cs="Times New Roman"/>
          <w:sz w:val="32"/>
          <w:szCs w:val="32"/>
        </w:rPr>
        <w:t>跨市县闲置资金调剂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一次性因素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五、上年结余收入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28.9</w:t>
      </w:r>
      <w:r>
        <w:rPr>
          <w:rFonts w:ascii="Times New Roman" w:hAnsi="Times New Roman" w:eastAsia="仿宋_GB2312" w:cs="Times New Roman"/>
          <w:sz w:val="32"/>
          <w:szCs w:val="32"/>
        </w:rPr>
        <w:t>亿元，主要是201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年中央专项资金未能完成分配需结转在20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19</w:t>
      </w:r>
      <w:r>
        <w:rPr>
          <w:rFonts w:ascii="Times New Roman" w:hAnsi="Times New Roman" w:eastAsia="仿宋_GB2312" w:cs="Times New Roman"/>
          <w:sz w:val="32"/>
          <w:szCs w:val="32"/>
        </w:rPr>
        <w:t>年继续支出。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六、调入资金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7.8</w:t>
      </w:r>
      <w:r>
        <w:rPr>
          <w:rFonts w:ascii="Times New Roman" w:hAnsi="Times New Roman" w:eastAsia="仿宋_GB2312" w:cs="Times New Roman"/>
          <w:sz w:val="32"/>
          <w:szCs w:val="32"/>
        </w:rPr>
        <w:t>亿元，主要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包括</w:t>
      </w:r>
      <w:r>
        <w:rPr>
          <w:rFonts w:ascii="Times New Roman" w:hAnsi="Times New Roman" w:eastAsia="仿宋_GB2312" w:cs="Times New Roman"/>
          <w:sz w:val="32"/>
          <w:szCs w:val="32"/>
        </w:rPr>
        <w:t>国有资本经营预算调入资金和项目单位举借债券还本调入资金。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七、调入预算稳定调节基金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53.4</w:t>
      </w:r>
      <w:r>
        <w:rPr>
          <w:rFonts w:ascii="Times New Roman" w:hAnsi="Times New Roman" w:eastAsia="仿宋_GB2312" w:cs="Times New Roman"/>
          <w:sz w:val="32"/>
          <w:szCs w:val="32"/>
        </w:rPr>
        <w:t>亿元，主要是从省本级预算稳定调节基金中安排调入的资金，用于缓解201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9</w:t>
      </w:r>
      <w:r>
        <w:rPr>
          <w:rFonts w:ascii="Times New Roman" w:hAnsi="Times New Roman" w:eastAsia="仿宋_GB2312" w:cs="Times New Roman"/>
          <w:sz w:val="32"/>
          <w:szCs w:val="32"/>
        </w:rPr>
        <w:t>年财政收支矛盾。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8">
    <w:name w:val="批注框文本 Char"/>
    <w:basedOn w:val="5"/>
    <w:link w:val="2"/>
    <w:semiHidden/>
    <w:uiPriority w:val="99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189</Words>
  <Characters>1080</Characters>
  <Lines>9</Lines>
  <Paragraphs>2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2019-01-30T08:54:00Z</dcterms:created>
  <dc:creator>张振旺</dc:creator>
  <cp:lastModifiedBy>黄丽音</cp:lastModifiedBy>
  <dcterms:modified xsi:type="dcterms:W3CDTF">2019-02-19T03:31:28Z</dcterms:modified>
  <dc:title>关于2019年海南省省级一般公共预算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