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sz w:val="52"/>
          <w:szCs w:val="52"/>
        </w:rPr>
      </w:pPr>
    </w:p>
    <w:p>
      <w:pPr>
        <w:rPr>
          <w:color w:val="000000"/>
          <w:sz w:val="52"/>
          <w:szCs w:val="52"/>
        </w:rPr>
      </w:pPr>
    </w:p>
    <w:p>
      <w:pPr>
        <w:rPr>
          <w:color w:val="000000"/>
          <w:sz w:val="52"/>
          <w:szCs w:val="52"/>
        </w:rPr>
      </w:pPr>
    </w:p>
    <w:p>
      <w:pPr>
        <w:rPr>
          <w:color w:val="000000"/>
          <w:sz w:val="52"/>
          <w:szCs w:val="52"/>
        </w:rPr>
      </w:pPr>
    </w:p>
    <w:p>
      <w:pPr>
        <w:rPr>
          <w:color w:val="000000"/>
          <w:sz w:val="52"/>
          <w:szCs w:val="52"/>
        </w:rPr>
      </w:pPr>
    </w:p>
    <w:p>
      <w:pPr>
        <w:rPr>
          <w:color w:val="000000"/>
          <w:sz w:val="52"/>
          <w:szCs w:val="52"/>
        </w:rPr>
      </w:pPr>
    </w:p>
    <w:p>
      <w:pPr>
        <w:ind w:firstLine="260" w:firstLineChars="50"/>
        <w:rPr>
          <w:rFonts w:ascii="黑体" w:hAnsi="黑体" w:eastAsia="黑体"/>
          <w:sz w:val="52"/>
          <w:szCs w:val="52"/>
        </w:rPr>
      </w:pPr>
      <w:r>
        <w:rPr>
          <w:rFonts w:hint="eastAsia" w:ascii="黑体" w:hAnsi="黑体" w:eastAsia="黑体"/>
          <w:color w:val="000000"/>
          <w:sz w:val="52"/>
          <w:szCs w:val="52"/>
        </w:rPr>
        <w:t>2021</w:t>
      </w:r>
      <w:r>
        <w:rPr>
          <w:rFonts w:hint="eastAsia" w:ascii="黑体" w:hAnsi="黑体" w:eastAsia="黑体"/>
          <w:sz w:val="52"/>
          <w:szCs w:val="52"/>
        </w:rPr>
        <w:t>年海南省彩票管理中心预算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海南省彩票管理中心概况</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海南省彩票管理中心2021年预算表</w:t>
      </w:r>
    </w:p>
    <w:p>
      <w:pPr>
        <w:pStyle w:val="9"/>
        <w:numPr>
          <w:ilvl w:val="0"/>
          <w:numId w:val="2"/>
        </w:numPr>
        <w:ind w:left="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2"/>
        </w:numPr>
        <w:ind w:left="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2"/>
        </w:numPr>
        <w:ind w:left="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2"/>
        </w:numPr>
        <w:ind w:left="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2"/>
        </w:numPr>
        <w:ind w:left="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2"/>
        </w:numPr>
        <w:ind w:left="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2"/>
        </w:numPr>
        <w:ind w:left="720"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9"/>
        <w:numPr>
          <w:ilvl w:val="0"/>
          <w:numId w:val="2"/>
        </w:numPr>
        <w:ind w:left="720"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9"/>
        <w:numPr>
          <w:ilvl w:val="0"/>
          <w:numId w:val="2"/>
        </w:numPr>
        <w:ind w:left="720"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9"/>
        <w:numPr>
          <w:ilvl w:val="0"/>
          <w:numId w:val="2"/>
        </w:numPr>
        <w:ind w:left="720"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海南省彩票管理中心2021年预算情况说明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widowControl w:val="0"/>
        <w:numPr>
          <w:ilvl w:val="0"/>
          <w:numId w:val="0"/>
        </w:numPr>
        <w:jc w:val="both"/>
        <w:rPr>
          <w:rFonts w:ascii="仿宋_GB2312" w:hAnsi="仿宋_GB2312" w:eastAsia="仿宋_GB2312" w:cs="仿宋_GB2312"/>
          <w:sz w:val="32"/>
          <w:szCs w:val="32"/>
        </w:rPr>
      </w:pPr>
    </w:p>
    <w:p>
      <w:pPr>
        <w:pStyle w:val="9"/>
        <w:numPr>
          <w:ilvl w:val="0"/>
          <w:numId w:val="3"/>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海南省彩票管理中心概况</w:t>
      </w:r>
    </w:p>
    <w:p>
      <w:pPr>
        <w:pStyle w:val="9"/>
        <w:ind w:firstLine="63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ind w:firstLine="630" w:firstLineChars="0"/>
        <w:jc w:val="left"/>
        <w:rPr>
          <w:rFonts w:ascii="黑体" w:hAnsi="黑体" w:eastAsia="黑体" w:cs="仿宋_GB2312"/>
          <w:sz w:val="32"/>
          <w:szCs w:val="32"/>
        </w:rPr>
      </w:pPr>
      <w:r>
        <w:rPr>
          <w:rFonts w:hint="eastAsia" w:ascii="仿宋" w:hAnsi="仿宋" w:eastAsia="仿宋" w:cs="仿宋"/>
          <w:sz w:val="32"/>
          <w:szCs w:val="32"/>
        </w:rPr>
        <w:t>海南省彩票管理中</w:t>
      </w:r>
      <w:r>
        <w:rPr>
          <w:rFonts w:hint="eastAsia" w:ascii="仿宋" w:hAnsi="仿宋" w:eastAsia="仿宋" w:cs="仿宋"/>
          <w:color w:val="000000"/>
          <w:sz w:val="32"/>
          <w:szCs w:val="32"/>
        </w:rPr>
        <w:t>心是海南省财政厅下属的财政全额拨款事业单位，主要</w:t>
      </w:r>
      <w:r>
        <w:rPr>
          <w:rFonts w:hint="eastAsia" w:ascii="仿宋" w:hAnsi="仿宋" w:eastAsia="仿宋" w:cs="仿宋"/>
          <w:sz w:val="32"/>
          <w:szCs w:val="32"/>
        </w:rPr>
        <w:t>负责</w:t>
      </w:r>
      <w:r>
        <w:rPr>
          <w:rFonts w:hint="eastAsia" w:ascii="仿宋" w:hAnsi="仿宋" w:eastAsia="仿宋" w:cs="仿宋"/>
          <w:color w:val="000000"/>
          <w:kern w:val="0"/>
          <w:sz w:val="32"/>
          <w:szCs w:val="32"/>
        </w:rPr>
        <w:t>我省彩票市场监督与管理</w:t>
      </w:r>
      <w:r>
        <w:rPr>
          <w:rFonts w:hint="eastAsia" w:ascii="仿宋" w:hAnsi="仿宋" w:eastAsia="仿宋" w:cs="仿宋"/>
          <w:sz w:val="32"/>
          <w:szCs w:val="32"/>
        </w:rPr>
        <w:t>，协助公安等部门</w:t>
      </w:r>
      <w:r>
        <w:rPr>
          <w:rFonts w:hint="eastAsia" w:ascii="仿宋" w:hAnsi="仿宋" w:eastAsia="仿宋" w:cs="仿宋"/>
          <w:color w:val="000000"/>
          <w:kern w:val="0"/>
          <w:sz w:val="32"/>
          <w:szCs w:val="32"/>
        </w:rPr>
        <w:t>稽查</w:t>
      </w:r>
      <w:r>
        <w:rPr>
          <w:rFonts w:hint="eastAsia" w:ascii="仿宋" w:hAnsi="仿宋" w:eastAsia="仿宋" w:cs="仿宋"/>
          <w:sz w:val="32"/>
          <w:szCs w:val="32"/>
        </w:rPr>
        <w:t>打击非法彩票营销活动，</w:t>
      </w:r>
      <w:r>
        <w:rPr>
          <w:rFonts w:hint="eastAsia" w:ascii="仿宋" w:hAnsi="仿宋" w:eastAsia="仿宋" w:cs="仿宋"/>
          <w:color w:val="000000"/>
          <w:sz w:val="32"/>
          <w:szCs w:val="32"/>
        </w:rPr>
        <w:t>督促彩票公益金及时足额上缴财政专户，</w:t>
      </w:r>
      <w:r>
        <w:rPr>
          <w:rFonts w:hint="eastAsia" w:ascii="仿宋" w:hAnsi="仿宋" w:eastAsia="仿宋" w:cs="仿宋"/>
          <w:color w:val="000000"/>
          <w:kern w:val="0"/>
          <w:sz w:val="32"/>
          <w:szCs w:val="32"/>
        </w:rPr>
        <w:t>开展彩票市场调查、预测和分析，研究探索我省彩票市场管理办法，为省政府制定我省彩票市场管理办法和规范市场管理提供决策参考；</w:t>
      </w:r>
      <w:r>
        <w:rPr>
          <w:rFonts w:hint="eastAsia" w:ascii="仿宋" w:hAnsi="仿宋" w:eastAsia="仿宋" w:cs="仿宋"/>
          <w:color w:val="000000"/>
          <w:sz w:val="32"/>
          <w:szCs w:val="32"/>
        </w:rPr>
        <w:t>做好彩票法规、公益彩票的宣传工作，维护全省彩票市场正常秩序，促进彩票事业健康发展</w:t>
      </w:r>
      <w:r>
        <w:rPr>
          <w:rFonts w:hint="eastAsia"/>
          <w:color w:val="000000"/>
        </w:rPr>
        <w:t>。</w:t>
      </w:r>
    </w:p>
    <w:p>
      <w:pPr>
        <w:ind w:left="800" w:firstLine="800" w:firstLineChars="250"/>
        <w:jc w:val="left"/>
        <w:rPr>
          <w:rFonts w:ascii="仿宋_GB2312" w:hAnsi="黑体" w:eastAsia="仿宋_GB2312" w:cs="仿宋_GB2312"/>
          <w:sz w:val="32"/>
          <w:szCs w:val="32"/>
        </w:rPr>
      </w:pPr>
    </w:p>
    <w:p>
      <w:pPr>
        <w:ind w:left="800"/>
        <w:jc w:val="center"/>
        <w:rPr>
          <w:rFonts w:ascii="仿宋" w:hAnsi="仿宋" w:eastAsia="仿宋"/>
          <w:b/>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 xml:space="preserve"> </w:t>
      </w:r>
      <w:bookmarkStart w:id="0" w:name="_GoBack"/>
      <w:r>
        <w:rPr>
          <w:rFonts w:hint="eastAsia" w:ascii="黑体" w:hAnsi="黑体" w:eastAsia="黑体" w:cs="仿宋"/>
          <w:b w:val="0"/>
          <w:bCs/>
          <w:color w:val="000000"/>
          <w:kern w:val="0"/>
          <w:sz w:val="32"/>
          <w:szCs w:val="32"/>
        </w:rPr>
        <w:t>海南省彩票管理中心</w:t>
      </w:r>
      <w:r>
        <w:rPr>
          <w:rFonts w:ascii="黑体" w:hAnsi="黑体" w:eastAsia="黑体" w:cs="仿宋"/>
          <w:b w:val="0"/>
          <w:bCs/>
          <w:color w:val="000000"/>
          <w:kern w:val="0"/>
          <w:sz w:val="32"/>
          <w:szCs w:val="32"/>
        </w:rPr>
        <w:t>2021</w:t>
      </w:r>
      <w:r>
        <w:rPr>
          <w:rFonts w:hint="eastAsia" w:ascii="黑体" w:hAnsi="黑体" w:eastAsia="黑体" w:cs="仿宋"/>
          <w:b w:val="0"/>
          <w:bCs/>
          <w:color w:val="000000"/>
          <w:kern w:val="0"/>
          <w:sz w:val="32"/>
          <w:szCs w:val="32"/>
        </w:rPr>
        <w:t>年预算表</w:t>
      </w:r>
      <w:bookmarkEnd w:id="0"/>
      <w:r>
        <w:rPr>
          <w:rFonts w:hint="eastAsia" w:ascii="仿宋" w:hAnsi="仿宋" w:eastAsia="仿宋"/>
          <w:b/>
          <w:sz w:val="32"/>
          <w:szCs w:val="32"/>
        </w:rPr>
        <w:t>（详见附件1）</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海南省彩票管理中心2021年预算情况说明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一、关于海南省彩票管理中心2021年财政拨款收支预算情况的总体说明</w:t>
      </w:r>
    </w:p>
    <w:p>
      <w:pPr>
        <w:ind w:firstLine="640" w:firstLineChars="200"/>
        <w:jc w:val="left"/>
        <w:rPr>
          <w:rFonts w:ascii="仿宋" w:hAnsi="仿宋" w:eastAsia="仿宋"/>
          <w:sz w:val="32"/>
          <w:szCs w:val="32"/>
        </w:rPr>
      </w:pPr>
      <w:r>
        <w:rPr>
          <w:rFonts w:hint="eastAsia" w:ascii="仿宋" w:hAnsi="仿宋" w:eastAsia="仿宋"/>
          <w:sz w:val="32"/>
          <w:szCs w:val="32"/>
        </w:rPr>
        <w:t>海南省彩票管理中心2021年财政拨款收支总预算306.79万元。其中，收入总计306.79万元，包括一般公共预算本年收入306.79万元；支出总计306.79万元，包括一般公共服务支出306.79万元。</w:t>
      </w:r>
    </w:p>
    <w:p>
      <w:pPr>
        <w:ind w:firstLine="640"/>
        <w:jc w:val="left"/>
        <w:rPr>
          <w:rFonts w:ascii="黑体" w:hAnsi="黑体" w:eastAsia="黑体"/>
          <w:sz w:val="32"/>
          <w:szCs w:val="32"/>
        </w:rPr>
      </w:pPr>
      <w:r>
        <w:rPr>
          <w:rFonts w:hint="eastAsia" w:ascii="黑体" w:hAnsi="黑体" w:eastAsia="黑体"/>
          <w:sz w:val="32"/>
          <w:szCs w:val="32"/>
        </w:rPr>
        <w:t>二、关于海南省彩票管理中心2021年一般公共预算当年拨款情况说明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 w:hAnsi="仿宋" w:eastAsia="仿宋"/>
          <w:sz w:val="32"/>
          <w:szCs w:val="32"/>
        </w:rPr>
      </w:pPr>
      <w:r>
        <w:rPr>
          <w:rFonts w:hint="eastAsia" w:ascii="仿宋" w:hAnsi="仿宋" w:eastAsia="仿宋"/>
          <w:sz w:val="32"/>
          <w:szCs w:val="32"/>
        </w:rPr>
        <w:t>我中心2021年一般公共预算当年拨款306.79万元，比上年预算数</w:t>
      </w:r>
      <w:r>
        <w:rPr>
          <w:rFonts w:hint="eastAsia" w:ascii="仿宋" w:hAnsi="仿宋" w:eastAsia="仿宋" w:cs="仿宋_GB2312"/>
          <w:sz w:val="32"/>
          <w:szCs w:val="32"/>
        </w:rPr>
        <w:t>增加5.49</w:t>
      </w:r>
      <w:r>
        <w:rPr>
          <w:rFonts w:hint="eastAsia" w:ascii="仿宋" w:hAnsi="仿宋" w:eastAsia="仿宋"/>
          <w:sz w:val="32"/>
          <w:szCs w:val="32"/>
        </w:rPr>
        <w:t>万元，主要是1. 今年聘用人员工资福利支出列入人员经费以及在编人员调资增加人员经费支出；2. 公用经费支出有所增加，主要是中心2人参加乡村振兴工作队的生活补贴及往返路费及临时</w:t>
      </w:r>
      <w:r>
        <w:rPr>
          <w:rFonts w:hint="eastAsia" w:ascii="仿宋" w:hAnsi="仿宋" w:eastAsia="仿宋"/>
          <w:sz w:val="32"/>
          <w:szCs w:val="32"/>
          <w:lang w:eastAsia="zh-CN"/>
        </w:rPr>
        <w:t>工</w:t>
      </w:r>
      <w:r>
        <w:rPr>
          <w:rFonts w:hint="eastAsia" w:ascii="仿宋" w:hAnsi="仿宋" w:eastAsia="仿宋"/>
          <w:sz w:val="32"/>
          <w:szCs w:val="32"/>
        </w:rPr>
        <w:t>劳务费等有所增加。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 w:hAnsi="仿宋" w:eastAsia="仿宋"/>
          <w:sz w:val="32"/>
          <w:szCs w:val="32"/>
        </w:rPr>
      </w:pPr>
      <w:r>
        <w:rPr>
          <w:rFonts w:hint="eastAsia" w:ascii="仿宋" w:hAnsi="仿宋" w:eastAsia="仿宋" w:cs="仿宋_GB2312"/>
          <w:sz w:val="32"/>
          <w:szCs w:val="32"/>
        </w:rPr>
        <w:t>一般公共服务（类）支出306.79</w:t>
      </w:r>
      <w:r>
        <w:rPr>
          <w:rFonts w:hint="eastAsia" w:ascii="仿宋" w:hAnsi="仿宋" w:eastAsia="仿宋"/>
          <w:sz w:val="32"/>
          <w:szCs w:val="32"/>
        </w:rPr>
        <w:t>万元，占100%。</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cs="仿宋_GB2312"/>
          <w:sz w:val="32"/>
          <w:szCs w:val="32"/>
        </w:rPr>
        <w:t>一般公共服务（类）财政事务2021</w:t>
      </w:r>
      <w:r>
        <w:rPr>
          <w:rFonts w:hint="eastAsia" w:ascii="仿宋" w:hAnsi="仿宋" w:eastAsia="仿宋"/>
          <w:sz w:val="32"/>
          <w:szCs w:val="32"/>
        </w:rPr>
        <w:t>年预算数为306.79万元，比上年预算数</w:t>
      </w:r>
      <w:r>
        <w:rPr>
          <w:rFonts w:hint="eastAsia" w:ascii="仿宋" w:hAnsi="仿宋" w:eastAsia="仿宋" w:cs="仿宋_GB2312"/>
          <w:sz w:val="32"/>
          <w:szCs w:val="32"/>
        </w:rPr>
        <w:t>增加5.49</w:t>
      </w:r>
      <w:r>
        <w:rPr>
          <w:rFonts w:hint="eastAsia" w:ascii="仿宋" w:hAnsi="仿宋" w:eastAsia="仿宋"/>
          <w:sz w:val="32"/>
          <w:szCs w:val="32"/>
        </w:rPr>
        <w:t>万元，主要是用于聘用人员工资福利支出、人员调资经费支出、乡村振兴工作队人员的生活补贴及往返路费、临时聘用人员劳务费等。</w:t>
      </w:r>
    </w:p>
    <w:p>
      <w:pPr>
        <w:ind w:firstLine="640"/>
        <w:rPr>
          <w:rFonts w:ascii="黑体" w:hAnsi="黑体" w:eastAsia="黑体"/>
          <w:sz w:val="32"/>
          <w:szCs w:val="32"/>
        </w:rPr>
      </w:pPr>
      <w:r>
        <w:rPr>
          <w:rFonts w:hint="eastAsia" w:ascii="黑体" w:hAnsi="黑体" w:eastAsia="黑体"/>
          <w:sz w:val="32"/>
          <w:szCs w:val="32"/>
        </w:rPr>
        <w:t>三、关于海南省彩票管理中心2021年一般公共预算基本支出情况说明</w:t>
      </w:r>
    </w:p>
    <w:p>
      <w:pPr>
        <w:ind w:firstLine="640" w:firstLineChars="200"/>
        <w:rPr>
          <w:rFonts w:ascii="仿宋" w:hAnsi="仿宋" w:eastAsia="仿宋"/>
          <w:sz w:val="32"/>
          <w:szCs w:val="32"/>
        </w:rPr>
      </w:pPr>
      <w:r>
        <w:rPr>
          <w:rFonts w:hint="eastAsia" w:ascii="仿宋" w:hAnsi="仿宋" w:eastAsia="仿宋"/>
          <w:sz w:val="32"/>
          <w:szCs w:val="32"/>
        </w:rPr>
        <w:t>我中心2021年一般公共预算基本支出为254.86万元，其中：</w:t>
      </w:r>
    </w:p>
    <w:p>
      <w:pPr>
        <w:ind w:firstLine="640" w:firstLineChars="200"/>
        <w:rPr>
          <w:rFonts w:ascii="仿宋" w:hAnsi="仿宋" w:eastAsia="仿宋"/>
          <w:sz w:val="32"/>
          <w:szCs w:val="32"/>
        </w:rPr>
      </w:pPr>
      <w:r>
        <w:rPr>
          <w:rFonts w:hint="eastAsia" w:ascii="仿宋" w:hAnsi="仿宋" w:eastAsia="仿宋"/>
          <w:sz w:val="32"/>
          <w:szCs w:val="32"/>
        </w:rPr>
        <w:t>人员经费217.6万元，主要包括：基本工资、津贴补贴、奖金、社会保障缴费</w:t>
      </w:r>
      <w:r>
        <w:rPr>
          <w:rFonts w:hint="eastAsia" w:ascii="仿宋" w:hAnsi="仿宋" w:eastAsia="仿宋"/>
          <w:sz w:val="32"/>
          <w:szCs w:val="32"/>
          <w:lang w:eastAsia="zh-CN"/>
        </w:rPr>
        <w:t>等</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公用经费37.26万元，主要包括：办公费、咨询费、手续费、水费、电费</w:t>
      </w:r>
      <w:r>
        <w:rPr>
          <w:rFonts w:hint="eastAsia" w:ascii="仿宋" w:hAnsi="仿宋" w:eastAsia="仿宋"/>
          <w:sz w:val="32"/>
          <w:szCs w:val="32"/>
          <w:lang w:eastAsia="zh-CN"/>
        </w:rPr>
        <w:t>等</w:t>
      </w:r>
      <w:r>
        <w:rPr>
          <w:rFonts w:hint="eastAsia" w:ascii="仿宋" w:hAnsi="仿宋" w:eastAsia="仿宋"/>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四、海南省彩票管理中心2021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 w:hAnsi="仿宋" w:eastAsia="仿宋" w:cs="Times New Roman"/>
          <w:sz w:val="32"/>
          <w:szCs w:val="32"/>
        </w:rPr>
      </w:pPr>
      <w:r>
        <w:rPr>
          <w:rFonts w:hint="eastAsia" w:ascii="仿宋" w:hAnsi="仿宋" w:eastAsia="仿宋"/>
          <w:sz w:val="32"/>
          <w:szCs w:val="32"/>
        </w:rPr>
        <w:t>我中心2021年一般公共预算“三公”经费预算数为5.82万元，其中：</w:t>
      </w:r>
    </w:p>
    <w:p>
      <w:pPr>
        <w:ind w:firstLine="630"/>
        <w:rPr>
          <w:rFonts w:hint="eastAsia" w:ascii="仿宋" w:hAnsi="仿宋" w:eastAsia="仿宋" w:cs="Times New Roman"/>
          <w:sz w:val="32"/>
          <w:shd w:val="clear" w:color="auto" w:fill="FFFFFF"/>
        </w:rPr>
      </w:pPr>
      <w:r>
        <w:rPr>
          <w:rFonts w:ascii="仿宋" w:hAnsi="仿宋" w:eastAsia="仿宋" w:cs="Times New Roman"/>
          <w:sz w:val="32"/>
          <w:shd w:val="clear" w:color="auto" w:fill="FFFFFF"/>
        </w:rPr>
        <w:t>因公出国（境）经费</w:t>
      </w:r>
      <w:r>
        <w:rPr>
          <w:rFonts w:hint="eastAsia" w:ascii="仿宋" w:hAnsi="仿宋" w:eastAsia="仿宋" w:cs="Times New Roman"/>
          <w:sz w:val="32"/>
          <w:shd w:val="clear" w:color="auto" w:fill="FFFFFF"/>
        </w:rPr>
        <w:t>0</w:t>
      </w:r>
      <w:r>
        <w:rPr>
          <w:rFonts w:hint="eastAsia" w:ascii="仿宋" w:hAnsi="仿宋" w:eastAsia="仿宋"/>
          <w:sz w:val="32"/>
          <w:szCs w:val="32"/>
        </w:rPr>
        <w:t>万元</w:t>
      </w:r>
      <w:r>
        <w:rPr>
          <w:rFonts w:ascii="仿宋" w:hAnsi="仿宋" w:eastAsia="仿宋" w:cs="Times New Roman"/>
          <w:sz w:val="32"/>
          <w:shd w:val="clear" w:color="auto" w:fill="FFFFFF"/>
        </w:rPr>
        <w:t>，与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年预算持平。公务用车购置及运行费</w:t>
      </w:r>
      <w:r>
        <w:rPr>
          <w:rFonts w:hint="eastAsia" w:ascii="仿宋" w:hAnsi="仿宋" w:eastAsia="仿宋" w:cs="Times New Roman"/>
          <w:sz w:val="32"/>
          <w:shd w:val="clear" w:color="auto" w:fill="FFFFFF"/>
        </w:rPr>
        <w:t>5.82</w:t>
      </w:r>
      <w:r>
        <w:rPr>
          <w:rFonts w:hint="eastAsia" w:ascii="仿宋" w:hAnsi="仿宋" w:eastAsia="仿宋"/>
          <w:sz w:val="32"/>
          <w:szCs w:val="32"/>
        </w:rPr>
        <w:t>万元（其中，</w:t>
      </w:r>
      <w:r>
        <w:rPr>
          <w:rFonts w:ascii="仿宋" w:hAnsi="仿宋" w:eastAsia="仿宋" w:cs="Times New Roman"/>
          <w:sz w:val="32"/>
          <w:shd w:val="clear" w:color="auto" w:fill="FFFFFF"/>
        </w:rPr>
        <w:t>公务用车购置</w:t>
      </w:r>
      <w:r>
        <w:rPr>
          <w:rFonts w:hint="eastAsia" w:ascii="仿宋" w:hAnsi="仿宋" w:eastAsia="仿宋" w:cs="Times New Roman"/>
          <w:sz w:val="32"/>
          <w:shd w:val="clear" w:color="auto" w:fill="FFFFFF"/>
        </w:rPr>
        <w:t>费0</w:t>
      </w:r>
      <w:r>
        <w:rPr>
          <w:rFonts w:hint="eastAsia" w:ascii="仿宋" w:hAnsi="仿宋" w:eastAsia="仿宋"/>
          <w:sz w:val="32"/>
          <w:szCs w:val="32"/>
        </w:rPr>
        <w:t>万元</w:t>
      </w:r>
      <w:r>
        <w:rPr>
          <w:rFonts w:hint="eastAsia" w:ascii="仿宋" w:hAnsi="仿宋" w:eastAsia="仿宋" w:cs="Times New Roman"/>
          <w:sz w:val="32"/>
          <w:shd w:val="clear" w:color="auto" w:fill="FFFFFF"/>
        </w:rPr>
        <w:t>，公务用车</w:t>
      </w:r>
      <w:r>
        <w:rPr>
          <w:rFonts w:ascii="仿宋" w:hAnsi="仿宋" w:eastAsia="仿宋" w:cs="Times New Roman"/>
          <w:sz w:val="32"/>
          <w:shd w:val="clear" w:color="auto" w:fill="FFFFFF"/>
        </w:rPr>
        <w:t>运行费</w:t>
      </w:r>
      <w:r>
        <w:rPr>
          <w:rFonts w:hint="eastAsia" w:ascii="仿宋" w:hAnsi="仿宋" w:eastAsia="仿宋" w:cs="Times New Roman"/>
          <w:sz w:val="32"/>
          <w:shd w:val="clear" w:color="auto" w:fill="FFFFFF"/>
        </w:rPr>
        <w:t>5.82</w:t>
      </w:r>
      <w:r>
        <w:rPr>
          <w:rFonts w:hint="eastAsia" w:ascii="仿宋" w:hAnsi="仿宋" w:eastAsia="仿宋"/>
          <w:sz w:val="32"/>
          <w:szCs w:val="32"/>
        </w:rPr>
        <w:t>万元）</w:t>
      </w:r>
      <w:r>
        <w:rPr>
          <w:rFonts w:ascii="仿宋" w:hAnsi="仿宋" w:eastAsia="仿宋" w:cs="Times New Roman"/>
          <w:sz w:val="32"/>
          <w:shd w:val="clear" w:color="auto" w:fill="FFFFFF"/>
        </w:rPr>
        <w:t>，较</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年预算下降</w:t>
      </w:r>
      <w:r>
        <w:rPr>
          <w:rFonts w:hint="eastAsia" w:ascii="仿宋" w:hAnsi="仿宋" w:eastAsia="仿宋" w:cs="Times New Roman"/>
          <w:sz w:val="32"/>
          <w:shd w:val="clear" w:color="auto" w:fill="FFFFFF"/>
        </w:rPr>
        <w:t>11</w:t>
      </w:r>
      <w:r>
        <w:rPr>
          <w:rFonts w:ascii="仿宋" w:hAnsi="仿宋" w:eastAsia="仿宋" w:cs="Times New Roman"/>
          <w:sz w:val="32"/>
          <w:shd w:val="clear" w:color="auto" w:fill="FFFFFF"/>
        </w:rPr>
        <w:t>%。</w:t>
      </w:r>
      <w:r>
        <w:rPr>
          <w:rFonts w:hint="eastAsia" w:ascii="仿宋" w:hAnsi="仿宋" w:eastAsia="仿宋" w:cs="Times New Roman"/>
          <w:sz w:val="32"/>
          <w:shd w:val="clear" w:color="auto" w:fill="FFFFFF"/>
        </w:rPr>
        <w:t>公务车保有量1</w:t>
      </w:r>
      <w:r>
        <w:rPr>
          <w:rFonts w:hint="eastAsia" w:ascii="仿宋" w:hAnsi="仿宋" w:eastAsia="仿宋" w:cs="仿宋_GB2312"/>
          <w:sz w:val="32"/>
          <w:szCs w:val="32"/>
        </w:rPr>
        <w:t>辆，计划购置0辆</w:t>
      </w:r>
      <w:r>
        <w:rPr>
          <w:rFonts w:hint="eastAsia" w:ascii="仿宋" w:hAnsi="仿宋" w:eastAsia="仿宋" w:cs="Times New Roman"/>
          <w:sz w:val="32"/>
          <w:shd w:val="clear" w:color="auto" w:fill="FFFFFF"/>
        </w:rPr>
        <w:t>；</w:t>
      </w:r>
      <w:r>
        <w:rPr>
          <w:rFonts w:ascii="仿宋" w:hAnsi="仿宋" w:eastAsia="仿宋" w:cs="Times New Roman"/>
          <w:sz w:val="32"/>
          <w:szCs w:val="32"/>
        </w:rPr>
        <w:t>公务接待费</w:t>
      </w:r>
      <w:r>
        <w:rPr>
          <w:rFonts w:hint="eastAsia" w:ascii="仿宋" w:hAnsi="仿宋" w:eastAsia="仿宋" w:cs="Times New Roman"/>
          <w:sz w:val="32"/>
          <w:szCs w:val="32"/>
        </w:rPr>
        <w:t>0</w:t>
      </w:r>
      <w:r>
        <w:rPr>
          <w:rFonts w:ascii="仿宋" w:hAnsi="仿宋" w:eastAsia="仿宋" w:cs="Times New Roman"/>
          <w:sz w:val="32"/>
          <w:shd w:val="clear" w:color="auto" w:fill="FFFFFF"/>
        </w:rPr>
        <w:t>万元，与</w:t>
      </w:r>
      <w:r>
        <w:rPr>
          <w:rFonts w:hint="eastAsia" w:ascii="仿宋" w:hAnsi="仿宋" w:eastAsia="仿宋" w:cs="Times New Roman"/>
          <w:sz w:val="32"/>
          <w:shd w:val="clear" w:color="auto" w:fill="FFFFFF"/>
        </w:rPr>
        <w:t>上</w:t>
      </w:r>
      <w:r>
        <w:rPr>
          <w:rFonts w:ascii="仿宋" w:hAnsi="仿宋" w:eastAsia="仿宋" w:cs="Times New Roman"/>
          <w:sz w:val="32"/>
          <w:shd w:val="clear" w:color="auto" w:fill="FFFFFF"/>
        </w:rPr>
        <w:t>年预算持平</w:t>
      </w:r>
      <w:r>
        <w:rPr>
          <w:rFonts w:hint="eastAsia" w:ascii="仿宋" w:hAnsi="仿宋" w:eastAsia="仿宋"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五、海南省彩票管理中心2021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我中心</w:t>
      </w:r>
      <w:r>
        <w:rPr>
          <w:rFonts w:hint="eastAsia" w:ascii="仿宋_GB2312" w:hAnsi="黑体" w:eastAsia="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30"/>
        <w:rPr>
          <w:rFonts w:hint="eastAsia" w:ascii="仿宋" w:hAnsi="仿宋" w:eastAsia="仿宋" w:cs="Times New Roman"/>
          <w:sz w:val="32"/>
          <w:shd w:val="clear" w:color="auto" w:fill="FFFFFF"/>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六</w:t>
      </w:r>
      <w:r>
        <w:rPr>
          <w:rFonts w:hint="eastAsia" w:ascii="黑体" w:hAnsi="黑体" w:eastAsia="黑体" w:cs="Times New Roman"/>
          <w:sz w:val="32"/>
          <w:shd w:val="clear" w:color="auto" w:fill="FFFFFF"/>
        </w:rPr>
        <w:t>、关于海南省彩票管理中心2021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 w:hAnsi="仿宋" w:eastAsia="仿宋"/>
          <w:sz w:val="32"/>
          <w:szCs w:val="32"/>
        </w:rPr>
      </w:pPr>
      <w:r>
        <w:rPr>
          <w:rFonts w:hint="eastAsia" w:ascii="仿宋" w:hAnsi="仿宋" w:eastAsia="仿宋" w:cs="仿宋_GB2312"/>
          <w:sz w:val="32"/>
          <w:szCs w:val="32"/>
        </w:rPr>
        <w:t>按照综合预算原则，省彩票中心所有收入和支出均纳入部门预算管理。收入包括：一般公共预算收入</w:t>
      </w:r>
      <w:r>
        <w:rPr>
          <w:rFonts w:hint="eastAsia" w:ascii="仿宋" w:hAnsi="仿宋" w:eastAsia="仿宋"/>
          <w:sz w:val="32"/>
          <w:szCs w:val="32"/>
        </w:rPr>
        <w:t>；支出包括：一般公共预算服务支出。我中心2021年收支总预算306.79万元。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七</w:t>
      </w:r>
      <w:r>
        <w:rPr>
          <w:rFonts w:hint="eastAsia" w:ascii="黑体" w:hAnsi="黑体" w:eastAsia="黑体" w:cs="Times New Roman"/>
          <w:sz w:val="32"/>
          <w:shd w:val="clear" w:color="auto" w:fill="FFFFFF"/>
        </w:rPr>
        <w:t>、关于海南省彩票管理中心2021年收入预算情况说明</w:t>
      </w:r>
    </w:p>
    <w:p>
      <w:pPr>
        <w:ind w:firstLine="640" w:firstLineChars="200"/>
        <w:rPr>
          <w:rFonts w:ascii="仿宋" w:hAnsi="仿宋" w:eastAsia="仿宋"/>
          <w:sz w:val="32"/>
          <w:szCs w:val="32"/>
        </w:rPr>
      </w:pPr>
      <w:r>
        <w:rPr>
          <w:rFonts w:hint="eastAsia" w:ascii="仿宋" w:hAnsi="仿宋" w:eastAsia="仿宋" w:cs="仿宋_GB2312"/>
          <w:sz w:val="32"/>
          <w:szCs w:val="32"/>
        </w:rPr>
        <w:t>我中心2021</w:t>
      </w:r>
      <w:r>
        <w:rPr>
          <w:rFonts w:hint="eastAsia" w:ascii="仿宋" w:hAnsi="仿宋" w:eastAsia="仿宋"/>
          <w:sz w:val="32"/>
          <w:szCs w:val="32"/>
        </w:rPr>
        <w:t>年收入预算306.79万元，其中：经费拨款收入306.79万元，占100%。比上年预算数</w:t>
      </w:r>
      <w:r>
        <w:rPr>
          <w:rFonts w:hint="eastAsia" w:ascii="仿宋" w:hAnsi="仿宋" w:eastAsia="仿宋" w:cs="仿宋_GB2312"/>
          <w:sz w:val="32"/>
          <w:szCs w:val="32"/>
        </w:rPr>
        <w:t>增加5.49</w:t>
      </w:r>
      <w:r>
        <w:rPr>
          <w:rFonts w:hint="eastAsia" w:ascii="仿宋" w:hAnsi="仿宋" w:eastAsia="仿宋"/>
          <w:sz w:val="32"/>
          <w:szCs w:val="32"/>
        </w:rPr>
        <w:t>万元，主要是用于聘用人员工资福利支出、人员调资经费支出、乡村振兴工作队人员的生活补贴及往返路费、临时聘用人员劳务费等。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lang w:eastAsia="zh-CN"/>
        </w:rPr>
        <w:t>八</w:t>
      </w:r>
      <w:r>
        <w:rPr>
          <w:rFonts w:hint="eastAsia" w:ascii="黑体" w:hAnsi="黑体" w:eastAsia="黑体" w:cs="Times New Roman"/>
          <w:sz w:val="32"/>
          <w:shd w:val="clear" w:color="auto" w:fill="FFFFFF"/>
        </w:rPr>
        <w:t>、关于海南省彩票管理中心2021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 w:hAnsi="仿宋" w:eastAsia="仿宋"/>
          <w:sz w:val="32"/>
          <w:szCs w:val="32"/>
        </w:rPr>
      </w:pPr>
      <w:r>
        <w:rPr>
          <w:rFonts w:hint="eastAsia" w:ascii="仿宋" w:hAnsi="仿宋" w:eastAsia="仿宋" w:cs="仿宋_GB2312"/>
          <w:sz w:val="32"/>
          <w:szCs w:val="32"/>
        </w:rPr>
        <w:t>我中心2021</w:t>
      </w:r>
      <w:r>
        <w:rPr>
          <w:rFonts w:hint="eastAsia" w:ascii="仿宋" w:hAnsi="仿宋" w:eastAsia="仿宋"/>
          <w:sz w:val="32"/>
          <w:szCs w:val="32"/>
        </w:rPr>
        <w:t>年支出预算306.79万元，其中：基本支出254.86万元，占83.07%；项目支出51.93万元，占16.93%。比上年预算数</w:t>
      </w:r>
      <w:r>
        <w:rPr>
          <w:rFonts w:hint="eastAsia" w:ascii="仿宋" w:hAnsi="仿宋" w:eastAsia="仿宋" w:cs="仿宋_GB2312"/>
          <w:sz w:val="32"/>
          <w:szCs w:val="32"/>
        </w:rPr>
        <w:t>增加5.49</w:t>
      </w:r>
      <w:r>
        <w:rPr>
          <w:rFonts w:hint="eastAsia" w:ascii="仿宋" w:hAnsi="仿宋" w:eastAsia="仿宋"/>
          <w:sz w:val="32"/>
          <w:szCs w:val="32"/>
        </w:rPr>
        <w:t>万元，主要是用于聘用人员工资福利支出、人员调资经费支出、乡村振兴工作队人员的生活补贴及往返路费、临时聘用人员劳务费等。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本单位是全额财政拨款事业单位，无机关运行经费。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我中心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sz w:val="32"/>
          <w:szCs w:val="32"/>
          <w:lang w:eastAsia="zh-CN"/>
        </w:rPr>
        <w:t>我中心有</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51.93</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hint="eastAsia" w:ascii="仿宋" w:hAnsi="仿宋" w:eastAsia="仿宋" w:cs="仿宋"/>
          <w:b w:val="0"/>
          <w:bCs w:val="0"/>
          <w:i w:val="0"/>
          <w:iCs w:val="0"/>
          <w:strike w:val="0"/>
          <w:sz w:val="32"/>
          <w:szCs w:val="32"/>
          <w:lang w:eastAsia="zh-CN"/>
        </w:rPr>
      </w:pPr>
      <w:r>
        <w:rPr>
          <w:rFonts w:hint="eastAsia" w:ascii="仿宋" w:hAnsi="仿宋" w:eastAsia="仿宋" w:cs="仿宋"/>
          <w:b w:val="0"/>
          <w:bCs w:val="0"/>
          <w:i w:val="0"/>
          <w:iCs w:val="0"/>
          <w:strike w:val="0"/>
          <w:sz w:val="32"/>
          <w:szCs w:val="32"/>
          <w:lang w:val="en-US" w:eastAsia="zh-CN"/>
        </w:rPr>
        <w:t>彩票市场监督检查</w:t>
      </w:r>
      <w:r>
        <w:rPr>
          <w:rFonts w:hint="eastAsia" w:ascii="仿宋" w:hAnsi="仿宋" w:eastAsia="仿宋" w:cs="仿宋"/>
          <w:b w:val="0"/>
          <w:bCs w:val="0"/>
          <w:i w:val="0"/>
          <w:iCs w:val="0"/>
          <w:strike w:val="0"/>
          <w:sz w:val="32"/>
          <w:szCs w:val="32"/>
          <w:lang w:eastAsia="zh-CN"/>
        </w:rPr>
        <w:t>项目，预算安排</w:t>
      </w:r>
      <w:r>
        <w:rPr>
          <w:rFonts w:hint="eastAsia" w:ascii="仿宋" w:hAnsi="仿宋" w:eastAsia="仿宋" w:cs="仿宋"/>
          <w:b w:val="0"/>
          <w:bCs w:val="0"/>
          <w:i w:val="0"/>
          <w:iCs w:val="0"/>
          <w:strike w:val="0"/>
          <w:sz w:val="32"/>
          <w:szCs w:val="32"/>
          <w:lang w:val="en-US" w:eastAsia="zh-CN"/>
        </w:rPr>
        <w:t>51.93</w:t>
      </w:r>
      <w:r>
        <w:rPr>
          <w:rFonts w:hint="eastAsia" w:ascii="仿宋" w:hAnsi="仿宋" w:eastAsia="仿宋" w:cs="仿宋"/>
          <w:b w:val="0"/>
          <w:bCs w:val="0"/>
          <w:i w:val="0"/>
          <w:iCs w:val="0"/>
          <w:strike w:val="0"/>
          <w:sz w:val="32"/>
          <w:szCs w:val="32"/>
          <w:lang w:eastAsia="zh-CN"/>
        </w:rPr>
        <w:t>万元，主要用于全省范围内彩票市场的监督管理，涉及范围：市县彩票市场检查差旅费、交通费；全省彩票宣传活动费用等。</w:t>
      </w:r>
    </w:p>
    <w:p>
      <w:pPr>
        <w:ind w:firstLine="640" w:firstLineChars="200"/>
        <w:rPr>
          <w:rFonts w:hint="eastAsia" w:ascii="仿宋" w:hAnsi="仿宋" w:eastAsia="仿宋" w:cs="仿宋"/>
          <w:i w:val="0"/>
          <w:iCs w:val="0"/>
          <w:sz w:val="32"/>
          <w:szCs w:val="32"/>
          <w:lang w:eastAsia="zh-CN"/>
        </w:rPr>
      </w:pPr>
      <w:r>
        <w:rPr>
          <w:rFonts w:hint="eastAsia" w:ascii="仿宋" w:hAnsi="仿宋" w:eastAsia="仿宋" w:cs="仿宋"/>
          <w:b w:val="0"/>
          <w:bCs w:val="0"/>
          <w:i w:val="0"/>
          <w:iCs w:val="0"/>
          <w:strike w:val="0"/>
          <w:sz w:val="32"/>
          <w:szCs w:val="32"/>
          <w:lang w:eastAsia="zh-CN"/>
        </w:rPr>
        <w:t>绩效目标是监督管理全省彩票销售过程，规范彩票销售行为，确保公益彩票安全运营，促进彩票市场健康发展。</w:t>
      </w:r>
    </w:p>
    <w:p>
      <w:pPr>
        <w:ind w:firstLine="640" w:firstLineChars="200"/>
        <w:rPr>
          <w:rFonts w:hint="eastAsia" w:ascii="仿宋_GB2312" w:hAnsi="黑体" w:eastAsia="仿宋_GB2312"/>
          <w:i/>
          <w:iCs/>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rPr>
          <w:rFonts w:hint="eastAsia" w:ascii="仿宋" w:hAnsi="仿宋" w:eastAsia="仿宋"/>
          <w:sz w:val="32"/>
          <w:szCs w:val="32"/>
        </w:rPr>
      </w:pPr>
    </w:p>
    <w:p>
      <w:pPr>
        <w:ind w:firstLine="640" w:firstLineChars="200"/>
        <w:rPr>
          <w:rFonts w:ascii="仿宋" w:hAnsi="仿宋" w:eastAsia="仿宋"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862" w:hanging="720"/>
      </w:pPr>
      <w:rPr>
        <w:rFonts w:hint="default" w:ascii="仿宋_GB2312" w:hAnsi="仿宋_GB2312" w:eastAsia="仿宋_GB2312" w:cs="仿宋_GB2312"/>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BFF10D8"/>
    <w:rsid w:val="795FF337"/>
    <w:rsid w:val="EFEB6DD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qFormat/>
    <w:uiPriority w:val="0"/>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批注框文本 Char"/>
    <w:basedOn w:val="6"/>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258</Words>
  <Characters>1475</Characters>
  <Lines>12</Lines>
  <Paragraphs>3</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郑冬妍</cp:lastModifiedBy>
  <dcterms:modified xsi:type="dcterms:W3CDTF">2022-09-21T17:30:23Z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