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ind w:firstLine="0"/>
        <w:jc w:val="both"/>
        <w:rPr>
          <w:rFonts w:hint="eastAsia" w:ascii="方正小标宋_GBK" w:hAnsi="方正小标宋_GBK" w:eastAsia="方正小标宋_GBK" w:cs="方正小标宋_GBK"/>
          <w:sz w:val="48"/>
          <w:szCs w:val="48"/>
        </w:rPr>
      </w:pPr>
      <w:r>
        <w:rPr>
          <w:rFonts w:hint="eastAsia" w:ascii="黑体" w:hAnsi="黑体" w:eastAsia="黑体"/>
          <w:sz w:val="48"/>
          <w:szCs w:val="48"/>
          <w:lang w:val="en-US" w:eastAsia="zh-CN"/>
        </w:rPr>
        <w:t xml:space="preserve"> </w:t>
      </w:r>
      <w:r>
        <w:rPr>
          <w:rFonts w:hint="eastAsia" w:ascii="方正小标宋_GBK" w:hAnsi="方正小标宋_GBK" w:eastAsia="方正小标宋_GBK" w:cs="方正小标宋_GBK"/>
          <w:sz w:val="48"/>
          <w:szCs w:val="48"/>
          <w:lang w:val="en-US" w:eastAsia="zh-CN"/>
        </w:rPr>
        <w:t xml:space="preserve"> 2024</w:t>
      </w:r>
      <w:r>
        <w:rPr>
          <w:rFonts w:hint="eastAsia" w:ascii="方正小标宋_GBK" w:hAnsi="方正小标宋_GBK" w:eastAsia="方正小标宋_GBK" w:cs="方正小标宋_GBK"/>
          <w:sz w:val="48"/>
          <w:szCs w:val="48"/>
        </w:rPr>
        <w:t>年</w:t>
      </w:r>
      <w:r>
        <w:rPr>
          <w:rFonts w:hint="eastAsia" w:ascii="方正小标宋_GBK" w:hAnsi="方正小标宋_GBK" w:eastAsia="方正小标宋_GBK" w:cs="方正小标宋_GBK"/>
          <w:sz w:val="48"/>
          <w:szCs w:val="48"/>
          <w:lang w:val="en-US" w:eastAsia="zh-CN"/>
        </w:rPr>
        <w:t>海南省财政预算评审中心</w:t>
      </w:r>
      <w:r>
        <w:rPr>
          <w:rFonts w:hint="eastAsia" w:ascii="方正小标宋_GBK" w:hAnsi="方正小标宋_GBK" w:eastAsia="方正小标宋_GBK" w:cs="方正小标宋_GBK"/>
          <w:sz w:val="48"/>
          <w:szCs w:val="48"/>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32"/>
          <w:szCs w:val="32"/>
        </w:rPr>
      </w:pPr>
    </w:p>
    <w:p>
      <w:pPr>
        <w:ind w:firstLine="1680"/>
        <w:jc w:val="center"/>
        <w:rPr>
          <w:sz w:val="32"/>
          <w:szCs w:val="32"/>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海南省财政预算评审中心</w:t>
      </w:r>
      <w:r>
        <w:rPr>
          <w:rFonts w:hint="eastAsia" w:ascii="黑体" w:hAnsi="黑体" w:eastAsia="黑体"/>
          <w:sz w:val="32"/>
          <w:szCs w:val="32"/>
        </w:rPr>
        <w:t>概况</w:t>
      </w:r>
    </w:p>
    <w:p>
      <w:pPr>
        <w:pStyle w:val="7"/>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7"/>
        <w:numPr>
          <w:ilvl w:val="-1"/>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7"/>
        <w:numPr>
          <w:ilvl w:val="-1"/>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七、单位</w:t>
      </w:r>
      <w:r>
        <w:rPr>
          <w:rFonts w:hint="eastAsia" w:ascii="仿宋_GB2312" w:hAnsi="仿宋_GB2312" w:eastAsia="仿宋_GB2312" w:cs="仿宋_GB2312"/>
          <w:sz w:val="32"/>
          <w:szCs w:val="32"/>
        </w:rPr>
        <w:t>收支总表</w:t>
      </w:r>
    </w:p>
    <w:p>
      <w:pPr>
        <w:pStyle w:val="7"/>
        <w:numPr>
          <w:ilvl w:val="-1"/>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八、单位</w:t>
      </w:r>
      <w:r>
        <w:rPr>
          <w:rFonts w:hint="eastAsia" w:ascii="仿宋_GB2312" w:hAnsi="仿宋_GB2312" w:eastAsia="仿宋_GB2312" w:cs="仿宋_GB2312"/>
          <w:sz w:val="32"/>
          <w:szCs w:val="32"/>
        </w:rPr>
        <w:t>收入总表</w:t>
      </w:r>
    </w:p>
    <w:p>
      <w:pPr>
        <w:pStyle w:val="7"/>
        <w:numPr>
          <w:ilvl w:val="-1"/>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九、单位</w:t>
      </w:r>
      <w:r>
        <w:rPr>
          <w:rFonts w:hint="eastAsia" w:ascii="仿宋_GB2312" w:hAnsi="仿宋_GB2312" w:eastAsia="仿宋_GB2312" w:cs="仿宋_GB2312"/>
          <w:sz w:val="32"/>
          <w:szCs w:val="32"/>
        </w:rPr>
        <w:t>支出总表</w:t>
      </w:r>
    </w:p>
    <w:p>
      <w:pPr>
        <w:pStyle w:val="7"/>
        <w:numPr>
          <w:ilvl w:val="-1"/>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2024年单位</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2"/>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海南省财政预算评审中心</w:t>
      </w:r>
      <w:r>
        <w:rPr>
          <w:rFonts w:hint="eastAsia" w:ascii="黑体" w:hAnsi="黑体" w:eastAsia="黑体" w:cs="黑体"/>
          <w:sz w:val="32"/>
          <w:szCs w:val="32"/>
        </w:rPr>
        <w:t>主要职能</w:t>
      </w:r>
      <w:r>
        <w:rPr>
          <w:rFonts w:hint="eastAsia" w:ascii="黑体" w:hAnsi="黑体" w:eastAsia="黑体" w:cs="黑体"/>
          <w:sz w:val="32"/>
          <w:szCs w:val="32"/>
          <w:lang w:eastAsia="zh-CN"/>
        </w:rPr>
        <w:t>如下：</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承担部门预算项目评审工作</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研究提出项目支出标准</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开展项目事后绩效评价</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（四）财政投资工程预决（结）算审查</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（五）财政投资项目效益评价</w:t>
      </w:r>
    </w:p>
    <w:p>
      <w:pPr>
        <w:pStyle w:val="7"/>
        <w:numPr>
          <w:ilvl w:val="0"/>
          <w:numId w:val="0"/>
        </w:numPr>
        <w:ind w:left="0" w:leftChars="0" w:firstLine="640" w:firstLineChars="200"/>
        <w:rPr>
          <w:rFonts w:hint="eastAsia" w:ascii="方正仿宋_GBK" w:hAnsi="方正仿宋_GBK" w:eastAsia="方正仿宋_GBK" w:cs="方正仿宋_GBK"/>
          <w:sz w:val="30"/>
          <w:szCs w:val="30"/>
          <w:lang w:val="en-US" w:eastAsia="zh-CN"/>
        </w:rPr>
      </w:pPr>
      <w:r>
        <w:rPr>
          <w:rFonts w:hint="eastAsia" w:ascii="仿宋_GB2312" w:hAnsi="仿宋_GB2312" w:eastAsia="仿宋_GB2312" w:cs="仿宋_GB2312"/>
          <w:sz w:val="32"/>
          <w:szCs w:val="32"/>
          <w:lang w:eastAsia="zh-CN"/>
        </w:rPr>
        <w:t>（六）财政投资项目招标标底评审管理</w:t>
      </w:r>
    </w:p>
    <w:p>
      <w:pPr>
        <w:pStyle w:val="7"/>
        <w:numPr>
          <w:ilvl w:val="0"/>
          <w:numId w:val="0"/>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（七）相关信息咨询服务</w:t>
      </w:r>
    </w:p>
    <w:p>
      <w:pPr>
        <w:pStyle w:val="4"/>
        <w:widowControl/>
        <w:numPr>
          <w:ilvl w:val="0"/>
          <w:numId w:val="0"/>
        </w:numPr>
        <w:spacing w:before="100" w:after="100" w:line="20" w:lineRule="atLeast"/>
        <w:ind w:leftChars="0" w:firstLine="0" w:firstLineChars="0"/>
        <w:jc w:val="left"/>
        <w:rPr>
          <w:rFonts w:hint="eastAsia" w:ascii="仿宋" w:hAnsi="仿宋" w:eastAsia="仿宋" w:cs="仿宋"/>
          <w:sz w:val="32"/>
          <w:szCs w:val="32"/>
          <w:lang w:eastAsia="zh-CN"/>
        </w:rPr>
      </w:pPr>
    </w:p>
    <w:p>
      <w:pPr>
        <w:ind w:firstLine="0" w:firstLineChars="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第二部分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2024年单位</w:t>
      </w:r>
      <w:r>
        <w:rPr>
          <w:rFonts w:hint="eastAsia" w:ascii="黑体" w:hAnsi="黑体" w:eastAsia="黑体"/>
          <w:sz w:val="32"/>
          <w:szCs w:val="32"/>
        </w:rPr>
        <w:t>预算表</w:t>
      </w:r>
    </w:p>
    <w:p>
      <w:pPr>
        <w:ind w:firstLine="642" w:firstLineChars="200"/>
        <w:rPr>
          <w:rFonts w:hint="eastAsia" w:ascii="仿宋_GB2312" w:hAnsi="黑体" w:eastAsia="仿宋_GB2312"/>
          <w:b/>
          <w:sz w:val="32"/>
          <w:szCs w:val="32"/>
        </w:rPr>
      </w:pPr>
    </w:p>
    <w:p>
      <w:pPr>
        <w:ind w:left="0" w:firstLine="321" w:firstLineChars="100"/>
        <w:jc w:val="both"/>
        <w:rPr>
          <w:rFonts w:ascii="仿宋_GB2312" w:hAnsi="黑体" w:eastAsia="仿宋_GB2312"/>
          <w:b/>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eastAsia="zh-CN"/>
        </w:rPr>
        <w:t>详见附件：</w:t>
      </w:r>
      <w:r>
        <w:rPr>
          <w:rFonts w:hint="eastAsia" w:ascii="仿宋_GB2312" w:hAnsi="黑体" w:eastAsia="仿宋_GB2312"/>
          <w:b/>
          <w:sz w:val="32"/>
          <w:szCs w:val="32"/>
          <w:lang w:val="en-US" w:eastAsia="zh-CN"/>
        </w:rPr>
        <w:t>2024年</w:t>
      </w:r>
      <w:r>
        <w:rPr>
          <w:rFonts w:hint="eastAsia" w:ascii="仿宋_GB2312" w:hAnsi="黑体" w:eastAsia="仿宋_GB2312"/>
          <w:b/>
          <w:sz w:val="32"/>
          <w:szCs w:val="32"/>
          <w:lang w:eastAsia="zh-CN"/>
        </w:rPr>
        <w:t>海南省财政预算评审中心</w:t>
      </w:r>
      <w:r>
        <w:rPr>
          <w:rFonts w:hint="eastAsia" w:ascii="仿宋_GB2312" w:hAnsi="黑体" w:eastAsia="仿宋_GB2312"/>
          <w:b/>
          <w:sz w:val="32"/>
          <w:szCs w:val="32"/>
        </w:rPr>
        <w:t>预算公开表）</w:t>
      </w: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2024年单位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b w:val="0"/>
          <w:bCs w:val="0"/>
          <w:sz w:val="32"/>
          <w:szCs w:val="32"/>
        </w:rPr>
        <w:t>关于</w:t>
      </w:r>
      <w:r>
        <w:rPr>
          <w:rFonts w:hint="eastAsia" w:ascii="黑体" w:hAnsi="黑体" w:eastAsia="黑体" w:cs="黑体"/>
          <w:b w:val="0"/>
          <w:bCs w:val="0"/>
          <w:sz w:val="32"/>
          <w:szCs w:val="32"/>
          <w:lang w:eastAsia="zh-CN"/>
        </w:rPr>
        <w:t>海南省财政预算评审中心</w:t>
      </w:r>
      <w:r>
        <w:rPr>
          <w:rFonts w:hint="eastAsia" w:ascii="黑体" w:hAnsi="黑体" w:eastAsia="黑体" w:cs="黑体"/>
          <w:b w:val="0"/>
          <w:bCs w:val="0"/>
          <w:sz w:val="32"/>
          <w:szCs w:val="32"/>
          <w:lang w:val="en-US" w:eastAsia="zh-CN"/>
        </w:rPr>
        <w:t>2024年</w:t>
      </w:r>
      <w:r>
        <w:rPr>
          <w:rFonts w:hint="eastAsia" w:ascii="黑体" w:hAnsi="黑体" w:eastAsia="黑体" w:cs="黑体"/>
          <w:b w:val="0"/>
          <w:bCs w:val="0"/>
          <w:sz w:val="32"/>
          <w:szCs w:val="32"/>
        </w:rPr>
        <w:t>财政拨款收支预算情况的总体说明</w:t>
      </w:r>
    </w:p>
    <w:p>
      <w:pPr>
        <w:ind w:firstLine="0" w:firstLineChars="0"/>
        <w:jc w:val="left"/>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66.25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2019-2021年职业年金记实、工作任务增加项目经费</w:t>
      </w:r>
      <w:r>
        <w:rPr>
          <w:rFonts w:hint="eastAsia" w:ascii="仿宋_GB2312" w:hAnsi="黑体" w:eastAsia="仿宋_GB2312"/>
          <w:sz w:val="32"/>
          <w:szCs w:val="32"/>
          <w:lang w:eastAsia="zh-CN"/>
        </w:rPr>
        <w:t>以及人员经费正常增长</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404.03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66.93万元</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12.03万元</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21.78万元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海南省财政预算评审中心</w:t>
      </w:r>
      <w:r>
        <w:rPr>
          <w:rFonts w:hint="eastAsia" w:ascii="黑体" w:hAnsi="黑体" w:eastAsia="黑体" w:cs="黑体"/>
          <w:b w:val="0"/>
          <w:bCs w:val="0"/>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66.25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2019-2021年职业年金记实、工作任务增加项目经费</w:t>
      </w:r>
      <w:r>
        <w:rPr>
          <w:rFonts w:hint="eastAsia" w:ascii="仿宋_GB2312" w:hAnsi="黑体" w:eastAsia="仿宋_GB2312"/>
          <w:sz w:val="32"/>
          <w:szCs w:val="32"/>
          <w:lang w:eastAsia="zh-CN"/>
        </w:rPr>
        <w:t>以及人员经费正常增长</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404.03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66.93万元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13.3</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12.03万元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21.78万元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4.3</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财政事务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339.97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新招录一名专业技术人员以及人员经费正常增长</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财政事务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其他财政</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64.06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工作任务增加项目经费。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3.01</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sz w:val="32"/>
          <w:szCs w:val="32"/>
          <w:lang w:val="en-US" w:eastAsia="zh-CN"/>
        </w:rPr>
        <w:t>正常增长。</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2023年机关事业单位职业年金缴费方式改为记实（单位部分），2024年需编制2019-2021年在职人员职业年金记实（单位部分）预算。</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事业单位医疗</w:t>
      </w:r>
      <w:r>
        <w:rPr>
          <w:rFonts w:hint="eastAsia" w:ascii="仿宋_GB2312" w:hAnsi="黑体" w:eastAsia="仿宋_GB2312"/>
          <w:sz w:val="32"/>
          <w:szCs w:val="32"/>
          <w:lang w:val="en-US" w:eastAsia="zh-CN"/>
        </w:rPr>
        <w:t>支出正常增长。</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住房公积金</w:t>
      </w:r>
      <w:r>
        <w:rPr>
          <w:rFonts w:hint="eastAsia" w:ascii="仿宋_GB2312" w:hAnsi="黑体" w:eastAsia="仿宋_GB2312"/>
          <w:sz w:val="32"/>
          <w:szCs w:val="32"/>
          <w:lang w:val="en-US" w:eastAsia="zh-CN"/>
        </w:rPr>
        <w:t>支出正常增长。</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440.71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399.96</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40.75</w:t>
      </w:r>
      <w:r>
        <w:rPr>
          <w:rFonts w:hint="eastAsia" w:ascii="仿宋_GB2312" w:hAnsi="黑体" w:eastAsia="仿宋_GB2312"/>
          <w:sz w:val="32"/>
          <w:szCs w:val="32"/>
        </w:rPr>
        <w:t>万元，主要包括：办公费、手续费、</w:t>
      </w:r>
      <w:r>
        <w:rPr>
          <w:rFonts w:hint="eastAsia" w:ascii="仿宋_GB2312" w:hAnsi="黑体" w:eastAsia="仿宋_GB2312"/>
          <w:sz w:val="32"/>
          <w:szCs w:val="32"/>
          <w:lang w:eastAsia="zh-CN"/>
        </w:rPr>
        <w:t>邮电费、差旅费、公务接待费、维修（护）费、租赁费、会议费、公务接待费、培训费、工会经费、劳务费、委托业务费、公务用车运行维护费、其他商品和服务支出等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比上年预算减少</w:t>
      </w:r>
      <w:r>
        <w:rPr>
          <w:rFonts w:hint="eastAsia" w:ascii="方正仿宋_GBK" w:hAnsi="方正仿宋_GBK" w:eastAsia="方正仿宋_GBK" w:cs="方正仿宋_GBK"/>
          <w:b w:val="0"/>
          <w:bCs w:val="0"/>
          <w:sz w:val="32"/>
          <w:shd w:val="clear" w:color="auto" w:fill="FFFFFF"/>
          <w:lang w:val="en-US" w:eastAsia="zh-CN"/>
        </w:rPr>
        <w:t>2.92</w:t>
      </w:r>
      <w:r>
        <w:rPr>
          <w:rFonts w:hint="eastAsia" w:ascii="Times New Roman" w:hAnsi="Times New Roman" w:eastAsia="仿宋_GB2312" w:cs="Times New Roman"/>
          <w:sz w:val="32"/>
          <w:shd w:val="clear" w:color="auto" w:fill="FFFFFF"/>
          <w:lang w:val="en-US" w:eastAsia="zh-CN"/>
        </w:rPr>
        <w:t>万元，较上年预算下</w:t>
      </w:r>
      <w:r>
        <w:rPr>
          <w:rFonts w:hint="eastAsia" w:ascii="方正仿宋_GBK" w:hAnsi="方正仿宋_GBK" w:eastAsia="方正仿宋_GBK" w:cs="方正仿宋_GBK"/>
          <w:sz w:val="32"/>
          <w:shd w:val="clear" w:color="auto" w:fill="FFFFFF"/>
          <w:lang w:val="en-US" w:eastAsia="zh-CN"/>
        </w:rPr>
        <w:t>降100%，</w:t>
      </w:r>
      <w:r>
        <w:rPr>
          <w:rFonts w:hint="eastAsia" w:ascii="方正仿宋_GBK" w:hAnsi="方正仿宋_GBK" w:eastAsia="方正仿宋_GBK" w:cs="方正仿宋_GBK"/>
          <w:sz w:val="32"/>
          <w:shd w:val="clear" w:color="auto" w:fill="FFFFFF"/>
          <w:lang w:eastAsia="zh-CN"/>
        </w:rPr>
        <w:t>下</w:t>
      </w:r>
      <w:r>
        <w:rPr>
          <w:rFonts w:hint="eastAsia" w:ascii="Times New Roman" w:hAnsi="Times New Roman" w:eastAsia="仿宋_GB2312" w:cs="Times New Roman"/>
          <w:sz w:val="32"/>
          <w:shd w:val="clear" w:color="auto" w:fill="FFFFFF"/>
          <w:lang w:eastAsia="zh-CN"/>
        </w:rPr>
        <w:t>降的主要原因为无</w:t>
      </w:r>
      <w:r>
        <w:rPr>
          <w:rFonts w:ascii="Times New Roman" w:hAnsi="Times New Roman" w:eastAsia="仿宋_GB2312" w:cs="Times New Roman"/>
          <w:sz w:val="32"/>
          <w:shd w:val="clear" w:color="auto" w:fill="FFFFFF"/>
        </w:rPr>
        <w:t>出国</w:t>
      </w:r>
      <w:r>
        <w:rPr>
          <w:rFonts w:hint="eastAsia" w:ascii="Times New Roman" w:hAnsi="Times New Roman" w:eastAsia="仿宋_GB2312" w:cs="Times New Roman"/>
          <w:sz w:val="32"/>
          <w:shd w:val="clear" w:color="auto" w:fill="FFFFFF"/>
          <w:lang w:eastAsia="zh-CN"/>
        </w:rPr>
        <w:t>（境）</w:t>
      </w:r>
      <w:r>
        <w:rPr>
          <w:rFonts w:ascii="Times New Roman" w:hAnsi="Times New Roman" w:eastAsia="仿宋_GB2312" w:cs="Times New Roman"/>
          <w:sz w:val="32"/>
          <w:shd w:val="clear" w:color="auto" w:fill="FFFFFF"/>
        </w:rPr>
        <w:t>计划</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无新增购置计划。</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bookmarkStart w:id="0" w:name="_GoBack"/>
      <w:bookmarkEnd w:id="0"/>
      <w:r>
        <w:rPr>
          <w:rFonts w:hint="eastAsia" w:ascii="仿宋_GB2312" w:hAnsi="黑体" w:eastAsia="仿宋_GB2312" w:cs="仿宋_GB2312"/>
          <w:sz w:val="32"/>
          <w:szCs w:val="32"/>
          <w:lang w:val="en-US" w:eastAsia="zh-CN"/>
        </w:rPr>
        <w:t>49</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与上年预算持平，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海南省财政预算评审中心202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年及以前年度均无</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firstLineChars="200"/>
        <w:rPr>
          <w:rFonts w:hint="eastAsia" w:ascii="仿宋_GBK" w:hAnsi="仿宋_GBK" w:eastAsia="仿宋_GBK" w:cs="仿宋_GBK"/>
          <w:color w:val="000000"/>
          <w:sz w:val="32"/>
          <w:szCs w:val="32"/>
          <w:lang w:eastAsia="zh-CN"/>
        </w:rPr>
      </w:pPr>
      <w:r>
        <w:rPr>
          <w:rFonts w:hint="eastAsia" w:ascii="仿宋_GBK" w:hAnsi="仿宋_GBK" w:eastAsia="仿宋_GBK" w:cs="仿宋_GBK"/>
          <w:color w:val="000000"/>
          <w:sz w:val="32"/>
          <w:szCs w:val="32"/>
          <w:lang w:eastAsia="zh-CN"/>
        </w:rPr>
        <w:t>（一）政府性基金预算当年规模变化情况</w:t>
      </w:r>
    </w:p>
    <w:p>
      <w:pPr>
        <w:ind w:firstLine="640" w:firstLineChars="200"/>
        <w:rPr>
          <w:rFonts w:hint="eastAsia" w:ascii="方正仿宋_GBK" w:hAnsi="方正仿宋_GBK" w:eastAsia="方正仿宋_GBK" w:cs="方正仿宋_GBK"/>
          <w:color w:val="000000"/>
          <w:sz w:val="32"/>
          <w:szCs w:val="32"/>
          <w:lang w:eastAsia="zh-CN"/>
        </w:rPr>
      </w:pPr>
      <w:r>
        <w:rPr>
          <w:rFonts w:hint="eastAsia" w:ascii="仿宋_GB2312" w:hAnsi="黑体" w:eastAsia="仿宋_GB2312" w:cs="黑体"/>
          <w:color w:val="auto"/>
          <w:sz w:val="32"/>
          <w:szCs w:val="32"/>
          <w:lang w:eastAsia="zh-CN"/>
        </w:rPr>
        <w:t>海南省财政预算评审中心</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年及以前年度均无</w:t>
      </w:r>
      <w:r>
        <w:rPr>
          <w:rFonts w:hint="eastAsia" w:ascii="仿宋_GB2312" w:hAnsi="黑体" w:eastAsia="仿宋_GB2312" w:cs="黑体"/>
          <w:color w:val="auto"/>
          <w:sz w:val="32"/>
          <w:szCs w:val="32"/>
          <w:lang w:eastAsia="zh-CN"/>
        </w:rPr>
        <w:t>政府性基金预算拨款。</w:t>
      </w:r>
    </w:p>
    <w:p>
      <w:pPr>
        <w:ind w:firstLine="640" w:firstLineChars="200"/>
        <w:rPr>
          <w:rFonts w:hint="eastAsia" w:ascii="仿宋_GBK" w:hAnsi="仿宋_GBK" w:eastAsia="仿宋_GBK" w:cs="仿宋_GBK"/>
          <w:color w:val="000000"/>
          <w:sz w:val="32"/>
          <w:szCs w:val="32"/>
          <w:lang w:eastAsia="zh-CN"/>
        </w:rPr>
      </w:pPr>
      <w:r>
        <w:rPr>
          <w:rFonts w:hint="eastAsia" w:ascii="仿宋_GBK" w:hAnsi="仿宋_GBK" w:eastAsia="仿宋_GBK" w:cs="仿宋_GBK"/>
          <w:color w:val="000000"/>
          <w:sz w:val="32"/>
          <w:szCs w:val="32"/>
          <w:lang w:eastAsia="zh-CN"/>
        </w:rPr>
        <w:t>（二）政府性基金预算当年拨款结构情况</w:t>
      </w:r>
    </w:p>
    <w:p>
      <w:pPr>
        <w:ind w:firstLine="640" w:firstLineChars="200"/>
        <w:rPr>
          <w:rFonts w:hint="eastAsia" w:ascii="方正仿宋_GBK" w:hAnsi="方正仿宋_GBK" w:eastAsia="方正仿宋_GBK" w:cs="方正仿宋_GBK"/>
          <w:color w:val="000000"/>
          <w:sz w:val="32"/>
          <w:szCs w:val="32"/>
          <w:lang w:eastAsia="zh-CN"/>
        </w:rPr>
      </w:pPr>
      <w:r>
        <w:rPr>
          <w:rFonts w:hint="eastAsia" w:ascii="仿宋_GB2312" w:hAnsi="黑体" w:eastAsia="仿宋_GB2312" w:cs="黑体"/>
          <w:color w:val="auto"/>
          <w:sz w:val="32"/>
          <w:szCs w:val="32"/>
          <w:lang w:eastAsia="zh-CN"/>
        </w:rPr>
        <w:t>海南省财政预算评审中心</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年及以前年度均无</w:t>
      </w:r>
      <w:r>
        <w:rPr>
          <w:rFonts w:hint="eastAsia" w:ascii="仿宋_GB2312" w:hAnsi="黑体" w:eastAsia="仿宋_GB2312" w:cs="黑体"/>
          <w:color w:val="auto"/>
          <w:sz w:val="32"/>
          <w:szCs w:val="32"/>
          <w:lang w:eastAsia="zh-CN"/>
        </w:rPr>
        <w:t>政府性基金预算拨款。</w:t>
      </w:r>
    </w:p>
    <w:p>
      <w:pPr>
        <w:ind w:firstLine="640" w:firstLineChars="200"/>
        <w:rPr>
          <w:rFonts w:hint="eastAsia" w:ascii="仿宋_GBK" w:hAnsi="仿宋_GBK" w:eastAsia="仿宋_GBK" w:cs="仿宋_GBK"/>
          <w:color w:val="000000"/>
          <w:sz w:val="32"/>
          <w:szCs w:val="32"/>
          <w:lang w:eastAsia="zh-CN"/>
        </w:rPr>
      </w:pPr>
      <w:r>
        <w:rPr>
          <w:rFonts w:hint="eastAsia" w:ascii="仿宋_GBK" w:hAnsi="仿宋_GBK" w:eastAsia="仿宋_GBK" w:cs="仿宋_GBK"/>
          <w:color w:val="000000"/>
          <w:sz w:val="32"/>
          <w:szCs w:val="32"/>
          <w:lang w:eastAsia="zh-CN"/>
        </w:rPr>
        <w:t>（三）政府性基金预算当年拨款具体使用情况</w:t>
      </w:r>
    </w:p>
    <w:p>
      <w:pPr>
        <w:ind w:firstLine="640" w:firstLineChars="200"/>
        <w:rPr>
          <w:rFonts w:hint="eastAsia" w:ascii="仿宋_GB2312" w:hAnsi="黑体" w:eastAsia="仿宋_GB2312" w:cs="黑体"/>
          <w:color w:val="auto"/>
          <w:sz w:val="32"/>
          <w:szCs w:val="32"/>
          <w:lang w:eastAsia="zh-CN"/>
        </w:rPr>
      </w:pPr>
      <w:r>
        <w:rPr>
          <w:rFonts w:hint="eastAsia" w:ascii="仿宋_GB2312" w:hAnsi="黑体" w:eastAsia="仿宋_GB2312" w:cs="黑体"/>
          <w:color w:val="auto"/>
          <w:sz w:val="32"/>
          <w:szCs w:val="32"/>
          <w:lang w:eastAsia="zh-CN"/>
        </w:rPr>
        <w:t>海南省财政预算评审中心</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年及以前年度均无</w:t>
      </w:r>
      <w:r>
        <w:rPr>
          <w:rFonts w:hint="eastAsia" w:ascii="仿宋_GB2312" w:hAnsi="黑体" w:eastAsia="仿宋_GB2312" w:cs="黑体"/>
          <w:color w:val="auto"/>
          <w:sz w:val="32"/>
          <w:szCs w:val="32"/>
          <w:lang w:eastAsia="zh-CN"/>
        </w:rPr>
        <w:t>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一般公共预算拨款收入</w:t>
      </w:r>
      <w:r>
        <w:rPr>
          <w:rFonts w:hint="eastAsia" w:ascii="仿宋_GB2312" w:hAnsi="黑体" w:eastAsia="仿宋_GB2312"/>
          <w:sz w:val="32"/>
          <w:szCs w:val="32"/>
          <w:lang w:val="en-US" w:eastAsia="zh-CN"/>
        </w:rPr>
        <w:t>504.77万元，占100%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66.25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2019-2021年职业年金记实、工作任务增加项目经费</w:t>
      </w:r>
      <w:r>
        <w:rPr>
          <w:rFonts w:hint="eastAsia" w:ascii="仿宋_GB2312" w:hAnsi="黑体" w:eastAsia="仿宋_GB2312"/>
          <w:sz w:val="32"/>
          <w:szCs w:val="32"/>
          <w:lang w:eastAsia="zh-CN"/>
        </w:rPr>
        <w:t>以及人员经费正常增长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440.71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64.06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增加66.25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2019-2021年职业年金记实、工作任务增加项目经费</w:t>
      </w:r>
      <w:r>
        <w:rPr>
          <w:rFonts w:hint="eastAsia" w:ascii="仿宋_GB2312" w:hAnsi="黑体" w:eastAsia="仿宋_GB2312"/>
          <w:sz w:val="32"/>
          <w:szCs w:val="32"/>
          <w:lang w:eastAsia="zh-CN"/>
        </w:rPr>
        <w:t>以及人员经费正常增长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一</w:t>
      </w: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机关运行经费</w:t>
      </w:r>
      <w:r>
        <w:rPr>
          <w:rFonts w:hint="eastAsia" w:ascii="方正楷体_GBK" w:hAnsi="方正楷体_GBK" w:eastAsia="方正楷体_GBK" w:cs="方正楷体_GBK"/>
          <w:color w:val="000000"/>
          <w:sz w:val="32"/>
          <w:szCs w:val="32"/>
        </w:rPr>
        <w:t>情况</w:t>
      </w:r>
      <w:r>
        <w:rPr>
          <w:rFonts w:hint="eastAsia" w:ascii="方正仿宋_GBK" w:hAnsi="方正仿宋_GBK" w:eastAsia="方正仿宋_GBK" w:cs="方正仿宋_GBK"/>
          <w:color w:val="000000"/>
          <w:sz w:val="32"/>
          <w:szCs w:val="32"/>
          <w:lang w:eastAsia="zh-CN"/>
        </w:rPr>
        <w:t>（行政单位、参照公务员管理的事业单位需要说明，其他单位不需要说明）</w:t>
      </w:r>
    </w:p>
    <w:p>
      <w:pPr>
        <w:ind w:firstLine="640" w:firstLineChars="200"/>
        <w:rPr>
          <w:rFonts w:hint="eastAsia" w:ascii="方正仿宋_GBK" w:hAnsi="方正仿宋_GBK" w:eastAsia="方正仿宋_GBK" w:cs="方正仿宋_GBK"/>
          <w:color w:val="000000"/>
          <w:sz w:val="32"/>
          <w:szCs w:val="32"/>
        </w:rPr>
      </w:pPr>
      <w:r>
        <w:rPr>
          <w:rFonts w:hint="eastAsia" w:ascii="仿宋_GB2312" w:hAnsi="黑体" w:eastAsia="仿宋_GB2312" w:cs="黑体"/>
          <w:color w:val="auto"/>
          <w:sz w:val="32"/>
          <w:szCs w:val="32"/>
          <w:lang w:eastAsia="zh-CN"/>
        </w:rPr>
        <w:t>海南省财政预算评审中心为公益一类事业单位，</w:t>
      </w:r>
      <w:r>
        <w:rPr>
          <w:rFonts w:hint="eastAsia" w:ascii="仿宋_GB2312" w:hAnsi="黑体" w:eastAsia="仿宋_GB2312" w:cs="黑体"/>
          <w:color w:val="auto"/>
          <w:sz w:val="32"/>
          <w:szCs w:val="32"/>
          <w:lang w:val="en-US" w:eastAsia="zh-CN"/>
        </w:rPr>
        <w:t>2024年</w:t>
      </w:r>
      <w:r>
        <w:rPr>
          <w:rFonts w:hint="eastAsia" w:ascii="仿宋_GB2312" w:hAnsi="黑体" w:eastAsia="仿宋_GB2312" w:cs="黑体"/>
          <w:color w:val="auto"/>
          <w:sz w:val="32"/>
          <w:szCs w:val="32"/>
          <w:lang w:eastAsia="zh-CN"/>
        </w:rPr>
        <w:t>无机关运行经费预算。</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2024年无</w:t>
      </w:r>
      <w:r>
        <w:rPr>
          <w:rFonts w:hint="eastAsia" w:ascii="仿宋_GB2312" w:hAnsi="黑体" w:eastAsia="仿宋_GB2312" w:cs="仿宋_GB2312"/>
          <w:sz w:val="32"/>
          <w:szCs w:val="32"/>
        </w:rPr>
        <w:t>政府采购预算</w:t>
      </w:r>
      <w:r>
        <w:rPr>
          <w:rFonts w:hint="eastAsia" w:ascii="仿宋_GB2312" w:hAnsi="黑体" w:eastAsia="仿宋_GB2312"/>
          <w:sz w:val="32"/>
          <w:szCs w:val="32"/>
        </w:rPr>
        <w:t>。</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其中，</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1辆</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本单位无价值</w:t>
      </w:r>
      <w:r>
        <w:rPr>
          <w:rFonts w:hint="eastAsia" w:ascii="仿宋_GB2312" w:hAnsi="黑体" w:eastAsia="仿宋_GB2312" w:cs="仿宋_GB2312"/>
          <w:sz w:val="32"/>
          <w:szCs w:val="32"/>
          <w:lang w:val="en-US" w:eastAsia="zh-CN"/>
        </w:rPr>
        <w:t>100万元以上设备。</w:t>
      </w:r>
    </w:p>
    <w:p>
      <w:pPr>
        <w:ind w:firstLine="640" w:firstLineChars="200"/>
        <w:rPr>
          <w:rFonts w:hint="eastAsia" w:ascii="楷体" w:hAnsi="楷体" w:eastAsia="楷体"/>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）绩效目标设置</w:t>
      </w:r>
      <w:r>
        <w:rPr>
          <w:rFonts w:hint="eastAsia" w:ascii="方正楷体_GBK" w:hAnsi="方正楷体_GBK" w:eastAsia="方正楷体_GBK" w:cs="方正楷体_GBK"/>
          <w:sz w:val="32"/>
          <w:szCs w:val="32"/>
          <w:lang w:eastAsia="zh-CN"/>
        </w:rPr>
        <w:t>及重点项目绩效目标说明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504.77</w:t>
      </w:r>
      <w:r>
        <w:rPr>
          <w:rFonts w:hint="eastAsia" w:ascii="仿宋_GB2312" w:hAnsi="黑体" w:eastAsia="仿宋_GB2312"/>
          <w:sz w:val="32"/>
          <w:szCs w:val="32"/>
        </w:rPr>
        <w:t>万元</w:t>
      </w:r>
      <w:r>
        <w:rPr>
          <w:rFonts w:hint="eastAsia" w:ascii="仿宋_GB2312" w:hAnsi="黑体" w:eastAsia="仿宋_GB2312"/>
          <w:sz w:val="32"/>
          <w:szCs w:val="32"/>
          <w:lang w:eastAsia="zh-CN"/>
        </w:rPr>
        <w:t>，无政府性基金预算。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无</w:t>
      </w:r>
      <w:r>
        <w:rPr>
          <w:rFonts w:hint="eastAsia" w:ascii="仿宋_GB2312" w:hAnsi="黑体" w:eastAsia="仿宋_GB2312"/>
          <w:sz w:val="32"/>
          <w:szCs w:val="32"/>
          <w:lang w:val="en-US" w:eastAsia="zh-CN"/>
        </w:rPr>
        <w:t>100万元以上的特定目标类重点项目。根据本单位主要职能，选择除基本支出外的3个支出项目作为重点项目进行</w:t>
      </w:r>
      <w:r>
        <w:rPr>
          <w:rFonts w:hint="eastAsia" w:ascii="仿宋_GB2312" w:hAnsi="黑体" w:eastAsia="仿宋_GB2312"/>
          <w:sz w:val="32"/>
          <w:szCs w:val="32"/>
          <w:lang w:eastAsia="zh-CN"/>
        </w:rPr>
        <w:t>绩效目标说明，具体如下：</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1.财政业务管理项目，预算安排36万元，主要用于组织开展部门预算项目评审、绩效评价、支出标准制定、</w:t>
      </w:r>
      <w:r>
        <w:rPr>
          <w:rFonts w:hint="eastAsia" w:ascii="方正仿宋_GBK" w:hAnsi="方正仿宋_GBK" w:eastAsia="方正仿宋_GBK" w:cs="方正仿宋_GBK"/>
          <w:sz w:val="30"/>
          <w:szCs w:val="30"/>
          <w:lang w:val="en-US" w:eastAsia="zh-CN"/>
        </w:rPr>
        <w:t>工程造价监督</w:t>
      </w:r>
      <w:r>
        <w:rPr>
          <w:rFonts w:hint="eastAsia" w:ascii="仿宋_GB2312" w:hAnsi="黑体" w:eastAsia="仿宋_GB2312"/>
          <w:sz w:val="32"/>
          <w:szCs w:val="32"/>
          <w:lang w:val="en-US" w:eastAsia="zh-CN"/>
        </w:rPr>
        <w:t>等工作。绩效目标：一是实现年度预算项目评审完成100个，单位采纳评审意见率达到90%；二是实现年度制定1个项目支出标准；三是实现年度完成1个项目绩效评价工作。</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2.考试服务费项目，预算安排6.6万元，主要用于委托第三方劳务公司招聘人才所需费用。绩效目标：一是通过公开招聘，招聘优秀专业人才，提高预算评审质量；二是参加应聘考试人数达440人。</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3.综合运行事务项目，预算安排21.46万元，主要用于配置（或更新）预算评审工作相关的软硬件，包括购买工程计价软件年度使用权费用等。绩效目标：一是实现工作计划完成率达90%；二是保障必要的电脑、打印机等办公设备更新2台，实现设备采购完成率达90%；三是保障机构正常运转，实现运转保障率达90%。    </w:t>
      </w: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2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Cambria">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行楷简">
    <w:panose1 w:val="02010600000101010101"/>
    <w:charset w:val="86"/>
    <w:family w:val="auto"/>
    <w:pitch w:val="default"/>
    <w:sig w:usb0="00000001" w:usb1="080E0800" w:usb2="00000002" w:usb3="00000000" w:csb0="00040000" w:csb1="00000000"/>
  </w:font>
  <w:font w:name="AR PL UKai HK">
    <w:panose1 w:val="02000503000000000000"/>
    <w:charset w:val="86"/>
    <w:family w:val="auto"/>
    <w:pitch w:val="default"/>
    <w:sig w:usb0="A00002FF" w:usb1="3ACFFDFF" w:usb2="00000036" w:usb3="00000000" w:csb0="2016009F" w:csb1="DFD70000"/>
  </w:font>
  <w:font w:name="仿宋_GBK">
    <w:altName w:val="方正仿宋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姚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57FCFF4"/>
    <w:rsid w:val="2FAB6C37"/>
    <w:rsid w:val="397B55BA"/>
    <w:rsid w:val="3ADFAD10"/>
    <w:rsid w:val="3BFEECBD"/>
    <w:rsid w:val="3F5F41C2"/>
    <w:rsid w:val="3F673F70"/>
    <w:rsid w:val="3FDEC7D9"/>
    <w:rsid w:val="4C5D1528"/>
    <w:rsid w:val="4EC67128"/>
    <w:rsid w:val="4F7F8773"/>
    <w:rsid w:val="4FBD4AE5"/>
    <w:rsid w:val="5BFF3068"/>
    <w:rsid w:val="5E179C43"/>
    <w:rsid w:val="5F711831"/>
    <w:rsid w:val="5FF7B603"/>
    <w:rsid w:val="5FFA35C4"/>
    <w:rsid w:val="6DFB77DF"/>
    <w:rsid w:val="6FDB7C2E"/>
    <w:rsid w:val="6FF704D2"/>
    <w:rsid w:val="717F3D04"/>
    <w:rsid w:val="71CF0E3B"/>
    <w:rsid w:val="72FF0E50"/>
    <w:rsid w:val="73F75F97"/>
    <w:rsid w:val="75EBFCCF"/>
    <w:rsid w:val="7747A676"/>
    <w:rsid w:val="7BBF89B1"/>
    <w:rsid w:val="7BFF7096"/>
    <w:rsid w:val="7DBA2149"/>
    <w:rsid w:val="7F7E3E34"/>
    <w:rsid w:val="7FB3F527"/>
    <w:rsid w:val="7FE84A1F"/>
    <w:rsid w:val="7FF28C48"/>
    <w:rsid w:val="96DB334F"/>
    <w:rsid w:val="B4CDC2FA"/>
    <w:rsid w:val="BAFFDFD5"/>
    <w:rsid w:val="BBDDD69A"/>
    <w:rsid w:val="CFBE2A2A"/>
    <w:rsid w:val="D7F6354B"/>
    <w:rsid w:val="DEBF5C90"/>
    <w:rsid w:val="E7E6F777"/>
    <w:rsid w:val="EAFD711B"/>
    <w:rsid w:val="EDFFC144"/>
    <w:rsid w:val="EFBEAC70"/>
    <w:rsid w:val="F5F7B19A"/>
    <w:rsid w:val="F6E69A28"/>
    <w:rsid w:val="FBFFC1AC"/>
    <w:rsid w:val="FDF76B54"/>
    <w:rsid w:val="FFEAAB8E"/>
    <w:rsid w:val="FFED290B"/>
    <w:rsid w:val="FFFED9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ind w:left="0" w:right="0"/>
      <w:jc w:val="left"/>
    </w:pPr>
    <w:rPr>
      <w:kern w:val="0"/>
      <w:sz w:val="24"/>
      <w:szCs w:val="20"/>
      <w:lang w:val="en-US" w:eastAsia="zh-CN" w:bidi="ar-SA"/>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2733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huawei</cp:lastModifiedBy>
  <cp:lastPrinted>2024-02-19T15:32:48Z</cp:lastPrinted>
  <dcterms:modified xsi:type="dcterms:W3CDTF">2024-02-21T09:33:42Z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