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440" w:lineRule="exact"/>
        <w:ind w:firstLine="640" w:firstLineChars="200"/>
        <w:rPr>
          <w:rFonts w:hint="eastAsia" w:ascii="黑体" w:hAnsi="黑体" w:eastAsia="黑体" w:cs="黑体"/>
          <w:sz w:val="32"/>
          <w:highlight w:val="none"/>
          <w:lang w:val="en-US" w:eastAsia="zh-CN"/>
        </w:rPr>
      </w:pPr>
      <w:bookmarkStart w:id="0" w:name="_GoBack"/>
      <w:bookmarkEnd w:id="0"/>
      <w:r>
        <w:rPr>
          <w:rFonts w:hint="eastAsia" w:ascii="黑体" w:hAnsi="黑体" w:eastAsia="黑体" w:cs="黑体"/>
          <w:sz w:val="32"/>
          <w:highlight w:val="none"/>
          <w:lang w:eastAsia="zh-CN"/>
        </w:rPr>
        <w:t>附件</w:t>
      </w:r>
      <w:r>
        <w:rPr>
          <w:rFonts w:hint="eastAsia" w:ascii="黑体" w:hAnsi="黑体" w:eastAsia="黑体" w:cs="黑体"/>
          <w:sz w:val="32"/>
          <w:highlight w:val="none"/>
          <w:lang w:val="en-US" w:eastAsia="zh-CN"/>
        </w:rPr>
        <w:t>2</w:t>
      </w:r>
    </w:p>
    <w:p>
      <w:pPr>
        <w:widowControl/>
        <w:adjustRightInd w:val="0"/>
        <w:snapToGrid w:val="0"/>
        <w:spacing w:line="560" w:lineRule="exact"/>
        <w:jc w:val="center"/>
        <w:rPr>
          <w:rFonts w:hint="eastAsia" w:ascii="方正小标宋_GBK" w:hAnsi="宋体" w:eastAsia="方正小标宋_GBK" w:cs="宋体"/>
          <w:bCs/>
          <w:kern w:val="0"/>
          <w:sz w:val="36"/>
          <w:szCs w:val="36"/>
          <w:highlight w:val="none"/>
          <w:lang w:eastAsia="zh-CN"/>
        </w:rPr>
      </w:pPr>
      <w:r>
        <w:rPr>
          <w:rFonts w:hint="eastAsia" w:ascii="方正小标宋_GBK" w:hAnsi="宋体" w:eastAsia="方正小标宋_GBK" w:cs="宋体"/>
          <w:bCs/>
          <w:kern w:val="0"/>
          <w:sz w:val="36"/>
          <w:szCs w:val="36"/>
          <w:highlight w:val="none"/>
          <w:lang w:eastAsia="zh-CN"/>
        </w:rPr>
        <w:t>全国财政系统</w:t>
      </w:r>
      <w:r>
        <w:rPr>
          <w:rFonts w:hint="eastAsia" w:ascii="方正小标宋_GBK" w:hAnsi="宋体" w:eastAsia="方正小标宋_GBK" w:cs="宋体"/>
          <w:bCs/>
          <w:kern w:val="0"/>
          <w:sz w:val="36"/>
          <w:szCs w:val="36"/>
          <w:highlight w:val="none"/>
        </w:rPr>
        <w:t>先进集体</w:t>
      </w:r>
      <w:r>
        <w:rPr>
          <w:rFonts w:hint="eastAsia" w:ascii="方正小标宋_GBK" w:hAnsi="宋体" w:eastAsia="方正小标宋_GBK" w:cs="宋体"/>
          <w:bCs/>
          <w:kern w:val="0"/>
          <w:sz w:val="36"/>
          <w:szCs w:val="36"/>
          <w:highlight w:val="none"/>
          <w:lang w:eastAsia="zh-CN"/>
        </w:rPr>
        <w:t>推荐对象基本情况</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5"/>
        <w:gridCol w:w="1039"/>
        <w:gridCol w:w="1451"/>
        <w:gridCol w:w="1260"/>
        <w:gridCol w:w="1455"/>
        <w:gridCol w:w="1189"/>
        <w:gridCol w:w="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51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eastAsia="仿宋_GB2312"/>
                <w:sz w:val="24"/>
                <w:highlight w:val="none"/>
              </w:rPr>
            </w:pPr>
            <w:r>
              <w:rPr>
                <w:rFonts w:ascii="宋体" w:hAnsi="宋体" w:eastAsia="仿宋_GB2312"/>
                <w:sz w:val="24"/>
                <w:highlight w:val="none"/>
              </w:rPr>
              <w:t>集体名称</w:t>
            </w:r>
          </w:p>
        </w:tc>
        <w:tc>
          <w:tcPr>
            <w:tcW w:w="6297"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宋体" w:hAnsi="宋体" w:eastAsia="仿宋_GB2312"/>
                <w:snapToGrid/>
                <w:spacing w:val="0"/>
                <w:sz w:val="24"/>
                <w:highlight w:val="none"/>
                <w:lang w:eastAsia="zh-CN"/>
              </w:rPr>
            </w:pPr>
            <w:r>
              <w:rPr>
                <w:rFonts w:hint="default" w:ascii="宋体" w:hAnsi="宋体" w:eastAsia="仿宋_GB2312"/>
                <w:snapToGrid/>
                <w:spacing w:val="0"/>
                <w:sz w:val="24"/>
                <w:highlight w:val="none"/>
                <w:lang w:eastAsia="zh-CN"/>
              </w:rPr>
              <w:t>海南省财政厅税政处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51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eastAsia="仿宋_GB2312"/>
                <w:sz w:val="24"/>
                <w:highlight w:val="none"/>
              </w:rPr>
            </w:pPr>
            <w:r>
              <w:rPr>
                <w:rFonts w:ascii="宋体" w:hAnsi="宋体" w:eastAsia="仿宋_GB2312"/>
                <w:sz w:val="24"/>
                <w:highlight w:val="none"/>
              </w:rPr>
              <w:t>集体性质</w:t>
            </w:r>
          </w:p>
        </w:tc>
        <w:tc>
          <w:tcPr>
            <w:tcW w:w="1451"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center"/>
              <w:rPr>
                <w:rFonts w:hint="default" w:ascii="宋体" w:hAnsi="宋体" w:eastAsia="仿宋_GB2312"/>
                <w:sz w:val="24"/>
                <w:highlight w:val="none"/>
                <w:lang w:eastAsia="zh-CN"/>
              </w:rPr>
            </w:pPr>
            <w:r>
              <w:rPr>
                <w:rFonts w:hint="default" w:ascii="宋体" w:hAnsi="宋体" w:eastAsia="仿宋_GB2312"/>
                <w:sz w:val="24"/>
                <w:highlight w:val="none"/>
                <w:lang w:eastAsia="zh-CN"/>
              </w:rPr>
              <w:t>机关</w:t>
            </w:r>
          </w:p>
        </w:tc>
        <w:tc>
          <w:tcPr>
            <w:tcW w:w="1260"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center"/>
              <w:rPr>
                <w:rFonts w:ascii="宋体" w:hAnsi="宋体" w:eastAsia="仿宋_GB2312"/>
                <w:sz w:val="24"/>
                <w:highlight w:val="none"/>
              </w:rPr>
            </w:pPr>
            <w:r>
              <w:rPr>
                <w:rFonts w:ascii="宋体" w:hAnsi="宋体" w:eastAsia="仿宋_GB2312"/>
                <w:sz w:val="24"/>
                <w:highlight w:val="none"/>
              </w:rPr>
              <w:t>集体级别</w:t>
            </w:r>
          </w:p>
        </w:tc>
        <w:tc>
          <w:tcPr>
            <w:tcW w:w="1455"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center"/>
              <w:rPr>
                <w:rFonts w:hint="eastAsia" w:ascii="宋体" w:hAnsi="宋体" w:eastAsia="仿宋_GB2312"/>
                <w:sz w:val="24"/>
                <w:highlight w:val="none"/>
                <w:lang w:eastAsia="zh-CN"/>
              </w:rPr>
            </w:pPr>
            <w:r>
              <w:rPr>
                <w:rFonts w:hint="eastAsia" w:ascii="宋体" w:hAnsi="宋体" w:eastAsia="仿宋_GB2312"/>
                <w:sz w:val="24"/>
                <w:highlight w:val="none"/>
                <w:lang w:eastAsia="zh-CN"/>
              </w:rPr>
              <w:t>处级</w:t>
            </w:r>
          </w:p>
        </w:tc>
        <w:tc>
          <w:tcPr>
            <w:tcW w:w="1189"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center"/>
              <w:rPr>
                <w:rFonts w:hint="eastAsia" w:ascii="宋体" w:hAnsi="宋体" w:eastAsia="仿宋_GB2312"/>
                <w:sz w:val="24"/>
                <w:highlight w:val="none"/>
              </w:rPr>
            </w:pPr>
            <w:r>
              <w:rPr>
                <w:rFonts w:hint="eastAsia" w:ascii="宋体" w:hAnsi="宋体" w:eastAsia="仿宋_GB2312"/>
                <w:sz w:val="24"/>
                <w:highlight w:val="none"/>
              </w:rPr>
              <w:t>集体人数</w:t>
            </w:r>
          </w:p>
        </w:tc>
        <w:tc>
          <w:tcPr>
            <w:tcW w:w="942"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center"/>
              <w:rPr>
                <w:rFonts w:hint="default" w:ascii="宋体" w:hAnsi="宋体" w:eastAsia="仿宋_GB2312"/>
                <w:sz w:val="24"/>
                <w:highlight w:val="none"/>
                <w:lang w:val="en-US" w:eastAsia="zh-CN"/>
              </w:rPr>
            </w:pPr>
            <w:r>
              <w:rPr>
                <w:rFonts w:hint="eastAsia" w:ascii="仿宋_GB2312" w:hAnsi="仿宋_GB2312" w:eastAsia="仿宋_GB2312" w:cs="仿宋_GB2312"/>
                <w:sz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251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eastAsia="仿宋_GB2312"/>
                <w:sz w:val="24"/>
                <w:highlight w:val="none"/>
              </w:rPr>
            </w:pPr>
            <w:r>
              <w:rPr>
                <w:rFonts w:ascii="宋体" w:hAnsi="宋体" w:eastAsia="仿宋_GB2312"/>
                <w:sz w:val="24"/>
                <w:highlight w:val="none"/>
              </w:rPr>
              <w:t>集体所属单位</w:t>
            </w:r>
          </w:p>
        </w:tc>
        <w:tc>
          <w:tcPr>
            <w:tcW w:w="6297" w:type="dxa"/>
            <w:gridSpan w:val="5"/>
            <w:tcBorders>
              <w:top w:val="single" w:color="auto"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宋体" w:hAnsi="宋体" w:eastAsia="仿宋_GB2312"/>
                <w:sz w:val="24"/>
                <w:highlight w:val="none"/>
                <w:lang w:eastAsia="zh-CN"/>
              </w:rPr>
            </w:pPr>
            <w:r>
              <w:rPr>
                <w:rFonts w:hint="default" w:ascii="宋体" w:hAnsi="宋体" w:eastAsia="仿宋_GB2312"/>
                <w:sz w:val="24"/>
                <w:highlight w:val="none"/>
                <w:lang w:eastAsia="zh-CN"/>
              </w:rPr>
              <w:t>海南省财政厅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5" w:hRule="exact"/>
          <w:jc w:val="center"/>
        </w:trPr>
        <w:tc>
          <w:tcPr>
            <w:tcW w:w="147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left="315" w:hanging="360" w:hangingChars="150"/>
              <w:jc w:val="center"/>
              <w:rPr>
                <w:rFonts w:hint="eastAsia" w:ascii="宋体" w:hAnsi="宋体" w:eastAsia="仿宋_GB2312"/>
                <w:sz w:val="24"/>
                <w:highlight w:val="none"/>
              </w:rPr>
            </w:pPr>
            <w:r>
              <w:rPr>
                <w:rFonts w:ascii="宋体" w:hAnsi="宋体" w:eastAsia="仿宋_GB2312"/>
                <w:sz w:val="24"/>
                <w:highlight w:val="none"/>
              </w:rPr>
              <w:t>集体负责人</w:t>
            </w:r>
          </w:p>
          <w:p>
            <w:pPr>
              <w:spacing w:line="280" w:lineRule="exact"/>
              <w:jc w:val="center"/>
              <w:rPr>
                <w:rFonts w:ascii="宋体" w:hAnsi="宋体" w:eastAsia="仿宋_GB2312"/>
                <w:sz w:val="24"/>
                <w:highlight w:val="none"/>
              </w:rPr>
            </w:pPr>
            <w:r>
              <w:rPr>
                <w:rFonts w:ascii="宋体" w:hAnsi="宋体" w:eastAsia="仿宋_GB2312"/>
                <w:sz w:val="24"/>
                <w:highlight w:val="none"/>
              </w:rPr>
              <w:t>姓</w:t>
            </w:r>
            <w:r>
              <w:rPr>
                <w:rFonts w:hint="eastAsia" w:ascii="宋体" w:hAnsi="宋体" w:eastAsia="仿宋_GB2312"/>
                <w:sz w:val="24"/>
                <w:highlight w:val="none"/>
              </w:rPr>
              <w:t xml:space="preserve">  </w:t>
            </w:r>
            <w:r>
              <w:rPr>
                <w:rFonts w:ascii="宋体" w:hAnsi="宋体" w:eastAsia="仿宋_GB2312"/>
                <w:sz w:val="24"/>
                <w:highlight w:val="none"/>
              </w:rPr>
              <w:t>名</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仿宋_GB2312"/>
                <w:sz w:val="24"/>
                <w:highlight w:val="none"/>
                <w:lang w:eastAsia="zh-CN"/>
              </w:rPr>
            </w:pPr>
            <w:r>
              <w:rPr>
                <w:rFonts w:hint="eastAsia" w:ascii="宋体" w:hAnsi="宋体" w:eastAsia="仿宋_GB2312"/>
                <w:sz w:val="24"/>
                <w:highlight w:val="none"/>
                <w:lang w:eastAsia="zh-CN"/>
              </w:rPr>
              <w:t>周湘平</w:t>
            </w:r>
          </w:p>
        </w:tc>
        <w:tc>
          <w:tcPr>
            <w:tcW w:w="1451"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ind w:left="210" w:hanging="240" w:hangingChars="100"/>
              <w:jc w:val="center"/>
              <w:rPr>
                <w:rFonts w:hint="eastAsia" w:ascii="宋体" w:hAnsi="宋体" w:eastAsia="仿宋_GB2312"/>
                <w:sz w:val="24"/>
                <w:highlight w:val="none"/>
              </w:rPr>
            </w:pPr>
            <w:r>
              <w:rPr>
                <w:rFonts w:ascii="宋体" w:hAnsi="宋体" w:eastAsia="仿宋_GB2312"/>
                <w:sz w:val="24"/>
                <w:highlight w:val="none"/>
              </w:rPr>
              <w:t>集体负责人</w:t>
            </w:r>
          </w:p>
          <w:p>
            <w:pPr>
              <w:spacing w:line="280" w:lineRule="exact"/>
              <w:jc w:val="center"/>
              <w:rPr>
                <w:rFonts w:ascii="宋体" w:hAnsi="宋体" w:eastAsia="仿宋_GB2312"/>
                <w:sz w:val="24"/>
                <w:highlight w:val="none"/>
              </w:rPr>
            </w:pPr>
            <w:r>
              <w:rPr>
                <w:rFonts w:ascii="宋体" w:hAnsi="宋体" w:eastAsia="仿宋_GB2312"/>
                <w:sz w:val="24"/>
                <w:highlight w:val="none"/>
              </w:rPr>
              <w:t>职</w:t>
            </w:r>
            <w:r>
              <w:rPr>
                <w:rFonts w:hint="eastAsia" w:ascii="宋体" w:hAnsi="宋体" w:eastAsia="仿宋_GB2312"/>
                <w:sz w:val="24"/>
                <w:highlight w:val="none"/>
              </w:rPr>
              <w:t xml:space="preserve">  </w:t>
            </w:r>
            <w:r>
              <w:rPr>
                <w:rFonts w:ascii="宋体" w:hAnsi="宋体" w:eastAsia="仿宋_GB2312"/>
                <w:sz w:val="24"/>
                <w:highlight w:val="none"/>
              </w:rPr>
              <w:t>务</w:t>
            </w:r>
          </w:p>
        </w:tc>
        <w:tc>
          <w:tcPr>
            <w:tcW w:w="1260"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center"/>
              <w:rPr>
                <w:rFonts w:hint="eastAsia" w:ascii="宋体" w:hAnsi="宋体" w:eastAsia="仿宋_GB2312"/>
                <w:sz w:val="24"/>
                <w:highlight w:val="none"/>
                <w:lang w:eastAsia="zh-CN"/>
              </w:rPr>
            </w:pPr>
            <w:r>
              <w:rPr>
                <w:rFonts w:hint="eastAsia" w:ascii="宋体" w:hAnsi="宋体" w:eastAsia="仿宋_GB2312"/>
                <w:sz w:val="24"/>
                <w:highlight w:val="none"/>
                <w:lang w:eastAsia="zh-CN"/>
              </w:rPr>
              <w:t>税政处副处长（主持工作，挂职两年）</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仿宋_GB2312"/>
                <w:sz w:val="24"/>
                <w:highlight w:val="none"/>
              </w:rPr>
            </w:pPr>
            <w:r>
              <w:rPr>
                <w:rFonts w:ascii="宋体" w:hAnsi="宋体" w:eastAsia="仿宋_GB2312"/>
                <w:sz w:val="24"/>
                <w:highlight w:val="none"/>
              </w:rPr>
              <w:t>集体负责人</w:t>
            </w:r>
          </w:p>
          <w:p>
            <w:pPr>
              <w:spacing w:line="280" w:lineRule="exact"/>
              <w:ind w:firstLine="120" w:firstLineChars="50"/>
              <w:jc w:val="center"/>
              <w:rPr>
                <w:rFonts w:ascii="宋体" w:hAnsi="宋体" w:eastAsia="仿宋_GB2312"/>
                <w:sz w:val="24"/>
                <w:highlight w:val="none"/>
              </w:rPr>
            </w:pPr>
            <w:r>
              <w:rPr>
                <w:rFonts w:ascii="宋体" w:hAnsi="宋体" w:eastAsia="仿宋_GB2312"/>
                <w:sz w:val="24"/>
                <w:highlight w:val="none"/>
              </w:rPr>
              <w:t>联系电话</w:t>
            </w:r>
          </w:p>
        </w:tc>
        <w:tc>
          <w:tcPr>
            <w:tcW w:w="213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0898-68555169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exact"/>
          <w:jc w:val="center"/>
        </w:trPr>
        <w:tc>
          <w:tcPr>
            <w:tcW w:w="251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eastAsia="仿宋_GB2312"/>
                <w:sz w:val="24"/>
                <w:highlight w:val="none"/>
              </w:rPr>
            </w:pPr>
            <w:r>
              <w:rPr>
                <w:rFonts w:ascii="宋体" w:hAnsi="宋体" w:eastAsia="仿宋_GB2312"/>
                <w:sz w:val="24"/>
                <w:highlight w:val="none"/>
              </w:rPr>
              <w:t>集体单位地址</w:t>
            </w:r>
          </w:p>
        </w:tc>
        <w:tc>
          <w:tcPr>
            <w:tcW w:w="271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宋体" w:hAnsi="宋体" w:eastAsia="仿宋_GB2312"/>
                <w:sz w:val="24"/>
                <w:highlight w:val="none"/>
                <w:lang w:val="en-US" w:eastAsia="zh-CN"/>
              </w:rPr>
            </w:pPr>
            <w:r>
              <w:rPr>
                <w:rFonts w:hint="default" w:ascii="宋体" w:hAnsi="宋体" w:eastAsia="仿宋_GB2312"/>
                <w:sz w:val="24"/>
                <w:highlight w:val="none"/>
                <w:lang w:eastAsia="zh-CN"/>
              </w:rPr>
              <w:t>海南省海口市</w:t>
            </w:r>
            <w:r>
              <w:rPr>
                <w:rFonts w:hint="eastAsia" w:ascii="宋体" w:hAnsi="宋体" w:eastAsia="仿宋_GB2312"/>
                <w:sz w:val="24"/>
                <w:highlight w:val="none"/>
                <w:lang w:eastAsia="zh-CN"/>
              </w:rPr>
              <w:t>龙华区</w:t>
            </w:r>
            <w:r>
              <w:rPr>
                <w:rFonts w:hint="default" w:ascii="宋体" w:hAnsi="宋体" w:eastAsia="仿宋_GB2312"/>
                <w:sz w:val="24"/>
                <w:highlight w:val="none"/>
                <w:lang w:eastAsia="zh-CN"/>
              </w:rPr>
              <w:t>滨海大道</w:t>
            </w:r>
            <w:r>
              <w:rPr>
                <w:rFonts w:hint="default" w:ascii="宋体" w:hAnsi="宋体" w:eastAsia="仿宋_GB2312"/>
                <w:sz w:val="24"/>
                <w:highlight w:val="none"/>
                <w:lang w:val="en-US" w:eastAsia="zh-CN"/>
              </w:rPr>
              <w:t>109号</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distribute"/>
              <w:rPr>
                <w:rFonts w:hint="default" w:ascii="宋体" w:hAnsi="宋体" w:eastAsia="仿宋_GB2312"/>
                <w:sz w:val="24"/>
                <w:highlight w:val="none"/>
              </w:rPr>
            </w:pPr>
            <w:r>
              <w:rPr>
                <w:rFonts w:ascii="宋体" w:hAnsi="宋体" w:eastAsia="仿宋_GB2312"/>
                <w:sz w:val="24"/>
                <w:highlight w:val="none"/>
              </w:rPr>
              <w:t>集体单位</w:t>
            </w:r>
          </w:p>
          <w:p>
            <w:pPr>
              <w:spacing w:line="280" w:lineRule="exact"/>
              <w:jc w:val="distribute"/>
              <w:rPr>
                <w:rFonts w:ascii="宋体" w:hAnsi="宋体" w:eastAsia="仿宋_GB2312"/>
                <w:sz w:val="24"/>
                <w:highlight w:val="none"/>
              </w:rPr>
            </w:pPr>
            <w:r>
              <w:rPr>
                <w:rFonts w:ascii="宋体" w:hAnsi="宋体" w:eastAsia="仿宋_GB2312"/>
                <w:sz w:val="24"/>
                <w:highlight w:val="none"/>
              </w:rPr>
              <w:t>邮</w:t>
            </w:r>
            <w:r>
              <w:rPr>
                <w:rFonts w:hint="default" w:ascii="宋体" w:hAnsi="宋体" w:eastAsia="仿宋_GB2312"/>
                <w:sz w:val="24"/>
                <w:highlight w:val="none"/>
                <w:lang w:val="en-US" w:eastAsia="zh-CN"/>
              </w:rPr>
              <w:t xml:space="preserve">  </w:t>
            </w:r>
            <w:r>
              <w:rPr>
                <w:rFonts w:ascii="宋体" w:hAnsi="宋体" w:eastAsia="仿宋_GB2312"/>
                <w:sz w:val="24"/>
                <w:highlight w:val="none"/>
              </w:rPr>
              <w:t>编</w:t>
            </w:r>
          </w:p>
        </w:tc>
        <w:tc>
          <w:tcPr>
            <w:tcW w:w="213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宋体" w:hAnsi="宋体" w:eastAsia="仿宋_GB2312"/>
                <w:sz w:val="24"/>
                <w:highlight w:val="none"/>
                <w:lang w:val="en-US" w:eastAsia="zh-CN"/>
              </w:rPr>
            </w:pPr>
            <w:r>
              <w:rPr>
                <w:rFonts w:hint="eastAsia" w:ascii="仿宋_GB2312" w:hAnsi="仿宋_GB2312" w:eastAsia="仿宋_GB2312" w:cs="仿宋_GB2312"/>
                <w:sz w:val="24"/>
                <w:highlight w:val="none"/>
                <w:lang w:val="en-US" w:eastAsia="zh-CN"/>
              </w:rPr>
              <w:t>570105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exact"/>
          <w:jc w:val="center"/>
        </w:trPr>
        <w:tc>
          <w:tcPr>
            <w:tcW w:w="251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eastAsia="仿宋_GB2312"/>
                <w:sz w:val="24"/>
                <w:highlight w:val="none"/>
                <w:lang w:eastAsia="zh-CN"/>
              </w:rPr>
            </w:pPr>
            <w:r>
              <w:rPr>
                <w:rFonts w:hint="eastAsia" w:ascii="宋体" w:hAnsi="宋体" w:eastAsia="仿宋_GB2312"/>
                <w:sz w:val="24"/>
                <w:highlight w:val="none"/>
                <w:lang w:eastAsia="zh-CN"/>
              </w:rPr>
              <w:t>集体单位联系人</w:t>
            </w:r>
          </w:p>
        </w:tc>
        <w:tc>
          <w:tcPr>
            <w:tcW w:w="271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宋体" w:hAnsi="宋体" w:eastAsia="仿宋_GB2312"/>
                <w:sz w:val="24"/>
                <w:highlight w:val="none"/>
                <w:lang w:eastAsia="zh-CN"/>
              </w:rPr>
            </w:pPr>
            <w:r>
              <w:rPr>
                <w:rFonts w:hint="default" w:ascii="宋体" w:hAnsi="宋体" w:eastAsia="仿宋_GB2312"/>
                <w:sz w:val="24"/>
                <w:highlight w:val="none"/>
                <w:lang w:eastAsia="zh-CN"/>
              </w:rPr>
              <w:t>杨少娟</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宋体" w:hAnsi="宋体" w:eastAsia="仿宋_GB2312"/>
                <w:sz w:val="24"/>
                <w:highlight w:val="none"/>
                <w:lang w:eastAsia="zh-CN"/>
              </w:rPr>
            </w:pPr>
            <w:r>
              <w:rPr>
                <w:rFonts w:hint="default" w:ascii="宋体" w:hAnsi="宋体" w:eastAsia="仿宋_GB2312"/>
                <w:sz w:val="24"/>
                <w:highlight w:val="none"/>
                <w:lang w:eastAsia="zh-CN"/>
              </w:rPr>
              <w:t>集体单位</w:t>
            </w:r>
          </w:p>
          <w:p>
            <w:pPr>
              <w:spacing w:line="280" w:lineRule="exact"/>
              <w:jc w:val="center"/>
              <w:rPr>
                <w:rFonts w:hint="default" w:ascii="宋体" w:hAnsi="宋体" w:eastAsia="仿宋_GB2312"/>
                <w:sz w:val="24"/>
                <w:highlight w:val="none"/>
                <w:lang w:eastAsia="zh-CN"/>
              </w:rPr>
            </w:pPr>
            <w:r>
              <w:rPr>
                <w:rFonts w:hint="default" w:ascii="宋体" w:hAnsi="宋体" w:eastAsia="仿宋_GB2312"/>
                <w:sz w:val="24"/>
                <w:highlight w:val="none"/>
                <w:lang w:eastAsia="zh-CN"/>
              </w:rPr>
              <w:t>联系电话</w:t>
            </w:r>
          </w:p>
        </w:tc>
        <w:tc>
          <w:tcPr>
            <w:tcW w:w="213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default" w:ascii="宋体" w:hAnsi="宋体" w:eastAsia="仿宋_GB2312"/>
                <w:sz w:val="24"/>
                <w:highlight w:val="none"/>
                <w:lang w:val="en-US" w:eastAsia="zh-CN"/>
              </w:rPr>
            </w:pPr>
            <w:r>
              <w:rPr>
                <w:rFonts w:hint="eastAsia" w:ascii="仿宋_GB2312" w:hAnsi="仿宋_GB2312" w:eastAsia="仿宋_GB2312" w:cs="仿宋_GB2312"/>
                <w:sz w:val="24"/>
                <w:highlight w:val="none"/>
                <w:lang w:val="en-US" w:eastAsia="zh-CN"/>
              </w:rPr>
              <w:t>0898-68510761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8" w:hRule="exact"/>
          <w:jc w:val="center"/>
        </w:trPr>
        <w:tc>
          <w:tcPr>
            <w:tcW w:w="251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ascii="宋体" w:hAnsi="宋体" w:eastAsia="仿宋_GB2312"/>
                <w:snapToGrid w:val="0"/>
                <w:spacing w:val="-2"/>
                <w:sz w:val="24"/>
                <w:highlight w:val="none"/>
              </w:rPr>
            </w:pPr>
            <w:r>
              <w:rPr>
                <w:rFonts w:ascii="宋体" w:hAnsi="宋体" w:eastAsia="仿宋_GB2312"/>
                <w:snapToGrid w:val="0"/>
                <w:spacing w:val="-2"/>
                <w:sz w:val="24"/>
                <w:highlight w:val="none"/>
              </w:rPr>
              <w:t>何时何地</w:t>
            </w:r>
          </w:p>
          <w:p>
            <w:pPr>
              <w:spacing w:line="560" w:lineRule="exact"/>
              <w:jc w:val="center"/>
              <w:rPr>
                <w:rFonts w:ascii="宋体" w:hAnsi="宋体" w:eastAsia="仿宋_GB2312"/>
                <w:snapToGrid w:val="0"/>
                <w:spacing w:val="-2"/>
                <w:sz w:val="24"/>
                <w:highlight w:val="none"/>
              </w:rPr>
            </w:pPr>
            <w:r>
              <w:rPr>
                <w:rFonts w:ascii="宋体" w:hAnsi="宋体" w:eastAsia="仿宋_GB2312"/>
                <w:snapToGrid w:val="0"/>
                <w:spacing w:val="-2"/>
                <w:sz w:val="24"/>
                <w:highlight w:val="none"/>
              </w:rPr>
              <w:t>受过何种</w:t>
            </w:r>
          </w:p>
          <w:p>
            <w:pPr>
              <w:spacing w:line="560" w:lineRule="exact"/>
              <w:jc w:val="center"/>
              <w:rPr>
                <w:rFonts w:ascii="宋体" w:hAnsi="宋体" w:eastAsia="仿宋_GB2312"/>
                <w:snapToGrid w:val="0"/>
                <w:spacing w:val="-2"/>
                <w:sz w:val="24"/>
                <w:highlight w:val="none"/>
              </w:rPr>
            </w:pPr>
            <w:r>
              <w:rPr>
                <w:rFonts w:ascii="宋体" w:hAnsi="宋体" w:eastAsia="仿宋_GB2312"/>
                <w:snapToGrid w:val="0"/>
                <w:spacing w:val="-2"/>
                <w:sz w:val="24"/>
                <w:highlight w:val="none"/>
              </w:rPr>
              <w:t>奖励</w:t>
            </w:r>
          </w:p>
        </w:tc>
        <w:tc>
          <w:tcPr>
            <w:tcW w:w="6297"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宋体" w:hAnsi="宋体" w:eastAsia="仿宋_GB2312"/>
                <w:snapToGrid w:val="0"/>
                <w:spacing w:val="-2"/>
                <w:sz w:val="24"/>
                <w:highlight w:val="none"/>
                <w:lang w:eastAsia="zh-CN"/>
              </w:rPr>
            </w:pPr>
            <w:r>
              <w:rPr>
                <w:rFonts w:hint="eastAsia" w:ascii="宋体" w:hAnsi="宋体" w:eastAsia="仿宋_GB2312"/>
                <w:snapToGrid w:val="0"/>
                <w:spacing w:val="-2"/>
                <w:sz w:val="24"/>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0" w:hRule="exact"/>
          <w:jc w:val="center"/>
        </w:trPr>
        <w:tc>
          <w:tcPr>
            <w:tcW w:w="2514"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right" w:pos="-5026"/>
                <w:tab w:val="right" w:pos="786"/>
              </w:tabs>
              <w:spacing w:line="560" w:lineRule="exact"/>
              <w:jc w:val="center"/>
              <w:rPr>
                <w:rFonts w:ascii="宋体" w:hAnsi="宋体" w:eastAsia="仿宋_GB2312"/>
                <w:snapToGrid w:val="0"/>
                <w:spacing w:val="-2"/>
                <w:sz w:val="24"/>
                <w:highlight w:val="none"/>
              </w:rPr>
            </w:pPr>
            <w:r>
              <w:rPr>
                <w:rFonts w:ascii="宋体" w:hAnsi="宋体" w:eastAsia="仿宋_GB2312"/>
                <w:snapToGrid w:val="0"/>
                <w:spacing w:val="-2"/>
                <w:sz w:val="24"/>
                <w:highlight w:val="none"/>
              </w:rPr>
              <w:t>何时何地</w:t>
            </w:r>
          </w:p>
          <w:p>
            <w:pPr>
              <w:tabs>
                <w:tab w:val="right" w:pos="-5026"/>
                <w:tab w:val="right" w:pos="786"/>
              </w:tabs>
              <w:spacing w:line="560" w:lineRule="exact"/>
              <w:jc w:val="center"/>
              <w:rPr>
                <w:rFonts w:ascii="宋体" w:hAnsi="宋体" w:eastAsia="仿宋_GB2312"/>
                <w:snapToGrid w:val="0"/>
                <w:spacing w:val="-2"/>
                <w:sz w:val="24"/>
                <w:highlight w:val="none"/>
              </w:rPr>
            </w:pPr>
            <w:r>
              <w:rPr>
                <w:rFonts w:ascii="宋体" w:hAnsi="宋体" w:eastAsia="仿宋_GB2312"/>
                <w:snapToGrid w:val="0"/>
                <w:spacing w:val="-2"/>
                <w:sz w:val="24"/>
                <w:highlight w:val="none"/>
              </w:rPr>
              <w:t>受过何种</w:t>
            </w:r>
          </w:p>
          <w:p>
            <w:pPr>
              <w:tabs>
                <w:tab w:val="right" w:pos="-5026"/>
                <w:tab w:val="right" w:pos="786"/>
              </w:tabs>
              <w:spacing w:line="560" w:lineRule="exact"/>
              <w:jc w:val="center"/>
              <w:rPr>
                <w:rFonts w:ascii="宋体" w:hAnsi="宋体" w:eastAsia="仿宋_GB2312"/>
                <w:snapToGrid w:val="0"/>
                <w:spacing w:val="-2"/>
                <w:sz w:val="24"/>
                <w:highlight w:val="none"/>
              </w:rPr>
            </w:pPr>
            <w:r>
              <w:rPr>
                <w:rFonts w:ascii="宋体" w:hAnsi="宋体" w:eastAsia="仿宋_GB2312"/>
                <w:snapToGrid w:val="0"/>
                <w:spacing w:val="-2"/>
                <w:sz w:val="24"/>
                <w:highlight w:val="none"/>
              </w:rPr>
              <w:t>处分</w:t>
            </w:r>
          </w:p>
        </w:tc>
        <w:tc>
          <w:tcPr>
            <w:tcW w:w="6297"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3"/>
              <w:ind w:left="0" w:leftChars="0" w:firstLine="0" w:firstLineChars="0"/>
              <w:jc w:val="center"/>
              <w:rPr>
                <w:rFonts w:ascii="宋体" w:hAnsi="宋体" w:eastAsia="仿宋_GB2312"/>
                <w:snapToGrid w:val="0"/>
                <w:spacing w:val="-2"/>
                <w:sz w:val="24"/>
                <w:highlight w:val="none"/>
              </w:rPr>
            </w:pPr>
            <w:r>
              <w:rPr>
                <w:rFonts w:hint="eastAsia" w:ascii="宋体" w:hAnsi="宋体" w:eastAsia="仿宋_GB2312"/>
                <w:snapToGrid w:val="0"/>
                <w:spacing w:val="-2"/>
                <w:sz w:val="24"/>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exact"/>
          <w:jc w:val="center"/>
        </w:trPr>
        <w:tc>
          <w:tcPr>
            <w:tcW w:w="881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仿宋_GB2312"/>
                <w:snapToGrid w:val="0"/>
                <w:spacing w:val="-2"/>
                <w:sz w:val="24"/>
                <w:highlight w:val="none"/>
              </w:rPr>
            </w:pPr>
            <w:r>
              <w:rPr>
                <w:rFonts w:hint="eastAsia" w:ascii="宋体" w:hAnsi="宋体" w:eastAsia="仿宋_GB2312"/>
                <w:snapToGrid w:val="0"/>
                <w:spacing w:val="-2"/>
                <w:sz w:val="24"/>
                <w:highlight w:val="none"/>
              </w:rPr>
              <w:t>主要先进事迹简介</w:t>
            </w:r>
            <w:r>
              <w:rPr>
                <w:rFonts w:hint="eastAsia" w:ascii="宋体" w:hAnsi="宋体" w:eastAsia="仿宋_GB2312"/>
                <w:sz w:val="24"/>
                <w:highlight w:val="none"/>
              </w:rPr>
              <w:t>（</w:t>
            </w:r>
            <w:r>
              <w:rPr>
                <w:rFonts w:hint="eastAsia" w:ascii="宋体" w:hAnsi="宋体" w:eastAsia="宋体" w:cs="宋体"/>
                <w:sz w:val="24"/>
                <w:highlight w:val="none"/>
              </w:rPr>
              <w:t>1500</w:t>
            </w:r>
            <w:r>
              <w:rPr>
                <w:rFonts w:hint="eastAsia" w:ascii="宋体" w:hAnsi="宋体" w:eastAsia="仿宋_GB2312"/>
                <w:sz w:val="24"/>
                <w:highlight w:val="none"/>
              </w:rPr>
              <w:t>字左右）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811" w:type="dxa"/>
            <w:gridSpan w:val="7"/>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建设海南自由贸易港，是习近平总书记亲自谋划、亲自部署、亲自推动的重大国家战略。《海南自由贸易港建设总体方案》（以下简称《总体方案》）明确的“按照零关税、低税率、简税制、强法治、分阶段的原则，逐步建立与高水平自由贸易港相适应的税收制度”，是极其重要的创新制度设计。海南省财政厅税政处作为具体责任处室，在厅党组的坚强领导和大力支持下，坚持力学笃行，锐意改革创新，勇扛时代使命，取得了显著成绩。</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党建引领，锤炼作风能力，撸起袖子加油干。抓党建、讲担当，铸造了一支能打硬仗、敢于担当、勇于创新的队伍。面对极具挑战的改革重任和人才急缺的现实困难，厅党组抽调厅内有学习意愿、能吃苦耐劳的11名优秀年轻干部，跨地区从天津市滨海新区财政局借调1名税制专业人才，组建税制改革工作专班，充实税政处研究力量。向中组部申请选派财政部关税司、税政司专业干部来琼挂职，3年连续两任挂职干部，以主人翁身份投入工作当中，团结带领处内同志，深入学习贯彻习近平新时代中国特色社会主义思想和党的二十大、党的二十届三中全会精神，实现了支部党建与业务工作的深度融合。</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二、敢于担当，勇于开拓创新，披荆斩棘摸索前进道路。在财政部挂职干部的带领下，税政处全面地学、踏实地做、再不断地完善。在“学”的环节，税政处全员学习习近平总书记在庆祝海南建省办经济特区</w:t>
            </w:r>
            <w:r>
              <w:rPr>
                <w:rFonts w:hint="eastAsia" w:ascii="仿宋_GB2312" w:hAnsi="仿宋_GB2312" w:eastAsia="仿宋_GB2312" w:cs="仿宋_GB2312"/>
                <w:sz w:val="24"/>
                <w:szCs w:val="24"/>
                <w:lang w:val="en-US" w:eastAsia="zh-CN"/>
              </w:rPr>
              <w:t>30周年大会上的重要讲话精神</w:t>
            </w:r>
            <w:r>
              <w:rPr>
                <w:rFonts w:hint="eastAsia" w:ascii="仿宋_GB2312" w:hAnsi="仿宋_GB2312" w:eastAsia="仿宋_GB2312" w:cs="仿宋_GB2312"/>
                <w:sz w:val="24"/>
                <w:szCs w:val="24"/>
                <w:lang w:eastAsia="zh-CN"/>
              </w:rPr>
              <w:t>，学习国际税制安排经验，共撰写学习笔记119份，整理问题建议317个，译校美国45个州和哥伦比亚特区销售税税制11.2万字，翻译香港、新加坡、迪拜等成熟自贸港税制2.2万字，不断提升专业水平；在“做”的环节，强化</w:t>
            </w:r>
            <w:r>
              <w:rPr>
                <w:rFonts w:hint="eastAsia" w:ascii="仿宋_GB2312" w:hAnsi="仿宋_GB2312" w:eastAsia="仿宋_GB2312" w:cs="仿宋_GB2312"/>
                <w:sz w:val="24"/>
                <w:szCs w:val="24"/>
                <w:highlight w:val="none"/>
                <w:lang w:eastAsia="zh-CN"/>
              </w:rPr>
              <w:t>顶层设计</w:t>
            </w:r>
            <w:r>
              <w:rPr>
                <w:rFonts w:hint="eastAsia" w:ascii="仿宋_GB2312" w:hAnsi="仿宋_GB2312" w:eastAsia="仿宋_GB2312" w:cs="仿宋_GB2312"/>
                <w:sz w:val="24"/>
                <w:szCs w:val="24"/>
                <w:lang w:eastAsia="zh-CN"/>
              </w:rPr>
              <w:t>，逐一细化工作目标、明确时间节点，压实人员责任，负责物品税制的</w:t>
            </w:r>
            <w:r>
              <w:rPr>
                <w:rFonts w:hint="eastAsia" w:ascii="仿宋_GB2312" w:hAnsi="仿宋_GB2312" w:eastAsia="仿宋_GB2312" w:cs="仿宋_GB2312"/>
                <w:sz w:val="24"/>
                <w:szCs w:val="24"/>
                <w:highlight w:val="none"/>
                <w:lang w:eastAsia="zh-CN"/>
              </w:rPr>
              <w:t>同志</w:t>
            </w:r>
            <w:r>
              <w:rPr>
                <w:rFonts w:hint="eastAsia" w:ascii="仿宋_GB2312" w:hAnsi="仿宋_GB2312" w:eastAsia="仿宋_GB2312" w:cs="仿宋_GB2312"/>
                <w:sz w:val="24"/>
                <w:szCs w:val="24"/>
                <w:lang w:eastAsia="zh-CN"/>
              </w:rPr>
              <w:t>，甚至让家人在美国亚马逊官网开起了网店，以便深入研究做好税制衔接设计；在“完善”的环节，不仅实地调研，还选取了万余家企业，开展大量场景模拟和实证分析，反复评估论证。向财政部、国家税务总局上报的销售税改革方案初稿共275页13.1万字，相关工作得到财政部业务司局的肯定。2023年5月，在税政处挂职的王岩同志，被中共海南省委学习贯彻习近平新时代中国特色社会主义思想主题教育领导小组授予“立足岗位、解放思想、担当作为、开拓创新”先进个人称号。</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三、深入研究，积极主动沟通，扎实推进各项税改工作。在自贸港税制改革研究过程中，税政处深入分析，为反映海南诉求打下扎实基础，多篇分析报告得到海南省委、省政府主要领导的表扬，例如：冯飞书记在《海南自贸港与其他高水平开放地区税收政策比较分析》上批示“此报告分析的很深入”。先后两任处室负责人，充分发挥挂职干部桥梁纽带作用，积极主动与财政部业务司局沟通对接，各项任务按照部署有序推进。《总体方案》明确的12项财税政策中，除岛内居民日用消费品“零关税”政策外，推动3张“零关税”清单、企业和个人所得税15%、离岛免税新政等11项政策落地并更新升级，实现自贸港建设早期收获。</w:t>
            </w:r>
            <w:r>
              <w:rPr>
                <w:rFonts w:hint="eastAsia" w:ascii="仿宋_GB2312" w:hAnsi="仿宋_GB2312" w:eastAsia="仿宋_GB2312" w:cs="仿宋_GB2312"/>
                <w:color w:val="auto"/>
                <w:sz w:val="24"/>
                <w:szCs w:val="24"/>
                <w:lang w:eastAsia="zh-CN"/>
              </w:rPr>
              <w:t>3张“零关税”清单从2020年至2024年5月，</w:t>
            </w:r>
            <w:r>
              <w:rPr>
                <w:rFonts w:hint="eastAsia" w:ascii="仿宋_GB2312" w:hAnsi="仿宋_GB2312" w:eastAsia="仿宋_GB2312" w:cs="仿宋_GB2312"/>
                <w:sz w:val="24"/>
                <w:szCs w:val="24"/>
                <w:lang w:eastAsia="zh-CN"/>
              </w:rPr>
              <w:t>累计进口货值206.2亿元，减免税额38.9亿元，惠及企业476家；个人所得税享惠人数和企业所得税享惠户数年均分别增长14.7%、30.7%；2023年，海南离岛免税销售额达443.9亿元，同比增长28%，已经发展成为拉动海南省旅游消费的“金字招牌”。自贸港税收优惠政策与其他财税政策形成合力，不断吸引“人流”“物流”“资金流”向海南汇聚。</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目前海南省财政厅税政处正配合财政部业务司局研究制定各项封关税收政策，下一步将继续立足岗位，担负起时代的使命，在《总体方案》的框架下，致力于构建完整全面的自贸港税制体系，描绘出自贸港税制领域最美的风景。</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宋体" w:eastAsia="方正小标宋_GBK" w:cs="宋体"/>
          <w:bCs/>
          <w:kern w:val="0"/>
          <w:sz w:val="36"/>
          <w:szCs w:val="36"/>
          <w:highlight w:val="none"/>
          <w:lang w:eastAsia="zh-CN"/>
        </w:rPr>
      </w:pPr>
      <w:r>
        <w:rPr>
          <w:rFonts w:hint="eastAsia" w:ascii="仿宋_GB2312" w:hAnsi="仿宋_GB2312" w:eastAsia="仿宋_GB2312" w:cs="仿宋_GB2312"/>
          <w:sz w:val="32"/>
          <w:szCs w:val="32"/>
          <w:lang w:val="en-US" w:eastAsia="zh-CN"/>
        </w:rPr>
        <w:br w:type="page"/>
      </w:r>
      <w:r>
        <w:rPr>
          <w:rFonts w:hint="eastAsia" w:ascii="方正小标宋_GBK" w:hAnsi="宋体" w:eastAsia="方正小标宋_GBK" w:cs="宋体"/>
          <w:bCs/>
          <w:kern w:val="0"/>
          <w:sz w:val="36"/>
          <w:szCs w:val="36"/>
          <w:highlight w:val="none"/>
          <w:lang w:eastAsia="zh-CN"/>
        </w:rPr>
        <w:t>全国财政系统</w:t>
      </w:r>
      <w:r>
        <w:rPr>
          <w:rFonts w:hint="eastAsia" w:ascii="方正小标宋_GBK" w:hAnsi="宋体" w:eastAsia="方正小标宋_GBK" w:cs="宋体"/>
          <w:bCs/>
          <w:kern w:val="0"/>
          <w:sz w:val="36"/>
          <w:szCs w:val="36"/>
          <w:highlight w:val="none"/>
        </w:rPr>
        <w:t>先进工作者</w:t>
      </w:r>
      <w:r>
        <w:rPr>
          <w:rFonts w:hint="eastAsia" w:ascii="方正小标宋_GBK" w:hAnsi="宋体" w:eastAsia="方正小标宋_GBK" w:cs="宋体"/>
          <w:bCs/>
          <w:kern w:val="0"/>
          <w:sz w:val="36"/>
          <w:szCs w:val="36"/>
          <w:highlight w:val="none"/>
          <w:lang w:eastAsia="zh-CN"/>
        </w:rPr>
        <w:t>推荐对象基本情况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261"/>
        <w:gridCol w:w="1527"/>
        <w:gridCol w:w="1215"/>
        <w:gridCol w:w="121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姓    名</w:t>
            </w:r>
          </w:p>
        </w:tc>
        <w:tc>
          <w:tcPr>
            <w:tcW w:w="2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u w:val="none"/>
                <w:lang w:eastAsia="zh-CN"/>
              </w:rPr>
              <w:t>陈琛</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性    别</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民    族</w:t>
            </w:r>
          </w:p>
        </w:tc>
        <w:tc>
          <w:tcPr>
            <w:tcW w:w="2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汉族</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出生日期</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szCs w:val="24"/>
                <w:lang w:val="en-US" w:eastAsia="zh-CN"/>
              </w:rPr>
              <w:t>1981.03.26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籍    贯</w:t>
            </w:r>
          </w:p>
        </w:tc>
        <w:tc>
          <w:tcPr>
            <w:tcW w:w="2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海南省儋州市</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户 籍 地</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lang w:eastAsia="zh-CN"/>
              </w:rPr>
              <w:t>海南省海口市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政治面貌</w:t>
            </w:r>
          </w:p>
        </w:tc>
        <w:tc>
          <w:tcPr>
            <w:tcW w:w="2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民盟盟员</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身份标识</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szCs w:val="24"/>
                <w:lang w:eastAsia="zh-CN"/>
              </w:rPr>
              <w:t>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学    历</w:t>
            </w:r>
          </w:p>
        </w:tc>
        <w:tc>
          <w:tcPr>
            <w:tcW w:w="2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研究生</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学    位</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经济学硕士、公共管理硕士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工作单位</w:t>
            </w:r>
            <w:r>
              <w:rPr>
                <w:rFonts w:hint="eastAsia" w:ascii="仿宋_GB2312" w:hAnsi="仿宋_GB2312" w:eastAsia="仿宋_GB2312" w:cs="仿宋_GB2312"/>
                <w:sz w:val="24"/>
                <w:highlight w:val="none"/>
                <w:lang w:eastAsia="zh-CN"/>
              </w:rPr>
              <w:t>及</w:t>
            </w:r>
            <w:r>
              <w:rPr>
                <w:rFonts w:hint="eastAsia" w:ascii="仿宋_GB2312" w:hAnsi="仿宋_GB2312" w:eastAsia="仿宋_GB2312" w:cs="仿宋_GB2312"/>
                <w:sz w:val="24"/>
                <w:highlight w:val="none"/>
                <w:lang w:val="en" w:eastAsia="zh-CN"/>
              </w:rPr>
              <w:t xml:space="preserve"> </w:t>
            </w:r>
            <w:r>
              <w:rPr>
                <w:rFonts w:hint="eastAsia" w:ascii="仿宋_GB2312" w:hAnsi="仿宋_GB2312" w:eastAsia="仿宋_GB2312" w:cs="仿宋_GB2312"/>
                <w:sz w:val="24"/>
                <w:highlight w:val="none"/>
                <w:lang w:eastAsia="zh-CN"/>
              </w:rPr>
              <w:t>职</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lang w:eastAsia="zh-CN"/>
              </w:rPr>
              <w:t>务</w:t>
            </w:r>
          </w:p>
        </w:tc>
        <w:tc>
          <w:tcPr>
            <w:tcW w:w="2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default" w:ascii="仿宋_GB2312" w:hAnsi="仿宋_GB2312" w:eastAsia="仿宋_GB2312" w:cs="仿宋_GB2312"/>
                <w:sz w:val="24"/>
                <w:highlight w:val="none"/>
                <w:lang w:val="en-US"/>
              </w:rPr>
            </w:pPr>
            <w:r>
              <w:rPr>
                <w:rFonts w:hint="eastAsia" w:ascii="仿宋_GB2312" w:hAnsi="仿宋_GB2312" w:eastAsia="仿宋_GB2312" w:cs="仿宋_GB2312"/>
                <w:sz w:val="24"/>
                <w:szCs w:val="24"/>
                <w:lang w:eastAsia="zh-CN"/>
              </w:rPr>
              <w:t>海南省海口市财政局经济建设科科长、一级主任科员</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职 </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 xml:space="preserve"> 称</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行政级别</w:t>
            </w:r>
          </w:p>
        </w:tc>
        <w:tc>
          <w:tcPr>
            <w:tcW w:w="2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lang w:eastAsia="zh-CN"/>
              </w:rPr>
              <w:t>科级及以下</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工作单位</w:t>
            </w:r>
          </w:p>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性   质</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szCs w:val="24"/>
                <w:lang w:eastAsia="zh-CN"/>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证件类型</w:t>
            </w:r>
          </w:p>
        </w:tc>
        <w:tc>
          <w:tcPr>
            <w:tcW w:w="2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身份证</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证件号码</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460102198103261220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工作单位</w:t>
            </w:r>
          </w:p>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地    址</w:t>
            </w:r>
          </w:p>
        </w:tc>
        <w:tc>
          <w:tcPr>
            <w:tcW w:w="278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海南省</w:t>
            </w:r>
            <w:r>
              <w:rPr>
                <w:rFonts w:hint="eastAsia" w:ascii="仿宋_GB2312" w:hAnsi="仿宋_GB2312" w:eastAsia="仿宋_GB2312" w:cs="仿宋_GB2312"/>
                <w:sz w:val="24"/>
                <w:highlight w:val="none"/>
              </w:rPr>
              <w:t>海口市秀英区长滨一路政府行政中心10号楼</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工作单位</w:t>
            </w:r>
          </w:p>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邮    编</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570100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工作单位</w:t>
            </w:r>
          </w:p>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联</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系</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人</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谭迈</w:t>
            </w:r>
          </w:p>
        </w:tc>
        <w:tc>
          <w:tcPr>
            <w:tcW w:w="15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工作单位</w:t>
            </w:r>
          </w:p>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联系电话</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0898-</w:t>
            </w:r>
          </w:p>
          <w:p>
            <w:pPr>
              <w:spacing w:line="24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68722613</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本人联系电</w:t>
            </w: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highlight w:val="none"/>
              </w:rPr>
              <w:t>话</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18876740282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0" w:hRule="exact"/>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个</w:t>
            </w:r>
          </w:p>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人</w:t>
            </w:r>
          </w:p>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简</w:t>
            </w:r>
          </w:p>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历</w:t>
            </w:r>
          </w:p>
        </w:tc>
        <w:tc>
          <w:tcPr>
            <w:tcW w:w="722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1993.09-1996.09 海南省海口市第一中学（初中部）</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1996.09-1999.09 海南省海口市第一中学（高中部）</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1999.09-2003.07 对外经贸大学行政管理专业学习</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2003.07-2004.09 待业</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2004.09-2004.12 上海联亚集装箱货运有限公司总经理秘书</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2004.12-2005.01 待业</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2005.01-2007.03 马士基（中国）上海有限公司欧洲出口部业务主</w:t>
            </w:r>
          </w:p>
          <w:p>
            <w:pPr>
              <w:keepNext w:val="0"/>
              <w:keepLines w:val="0"/>
              <w:pageBreakBefore w:val="0"/>
              <w:widowControl w:val="0"/>
              <w:kinsoku/>
              <w:wordWrap/>
              <w:overflowPunct/>
              <w:topLinePunct w:val="0"/>
              <w:autoSpaceDE/>
              <w:autoSpaceDN/>
              <w:bidi w:val="0"/>
              <w:spacing w:before="60" w:line="180" w:lineRule="exact"/>
              <w:ind w:right="102" w:firstLine="1920" w:firstLineChars="8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2007.03-2010.10 GELogistics（China）LTD总经理助理兼人力资</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源主管（其间：2007.09--2009.10上海财经大学</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金融学专业学习，获经济学硕士学位）</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2010.10-2010.11 待业</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2010.11-2011.11 海南省海口市财政局试用期公务员</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2011.11-2013.02 海南省海口市财政局办公室科员</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2013.02-2013.06 海南省海口市财政局会计处科员</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2013.06-2015.01 海南省海口市财政局国库处科员</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2015.01-2018.07 海南省海口市财政国库支付局副主任科员</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（2013.09-2017.02海南大学公共管理专业学</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习，获公共管理硕士学位）</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2018.07-2019.06 海南省海口市财政局农业处处长（正科级）</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2019.06-2022.05 海南省海口市财政局农业农村科科长</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2022.05-2022.06 海南省海口市财政局经济建设科科长</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2022.06-        海南省海口市财政局经济建设科科长、一级主任</w:t>
            </w:r>
          </w:p>
          <w:p>
            <w:pPr>
              <w:keepNext w:val="0"/>
              <w:keepLines w:val="0"/>
              <w:pageBreakBefore w:val="0"/>
              <w:widowControl w:val="0"/>
              <w:kinsoku/>
              <w:wordWrap/>
              <w:overflowPunct/>
              <w:topLinePunct w:val="0"/>
              <w:autoSpaceDE/>
              <w:autoSpaceDN/>
              <w:bidi w:val="0"/>
              <w:spacing w:before="60" w:line="180" w:lineRule="exact"/>
              <w:ind w:right="102" w:firstLine="0" w:firstLineChars="0"/>
              <w:textAlignment w:val="auto"/>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szCs w:val="24"/>
                <w:lang w:val="en-US" w:eastAsia="zh-CN"/>
              </w:rPr>
              <w:t xml:space="preserve">                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exact"/>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何时何地</w:t>
            </w:r>
          </w:p>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受过何种</w:t>
            </w:r>
          </w:p>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奖励</w:t>
            </w:r>
          </w:p>
        </w:tc>
        <w:tc>
          <w:tcPr>
            <w:tcW w:w="722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60" w:line="300" w:lineRule="exact"/>
              <w:ind w:right="102"/>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2017年2月，连续三年考核优秀被海口市财政局授予“三等功” </w:t>
            </w:r>
            <w:r>
              <w:rPr>
                <w:rFonts w:hint="default"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    </w:t>
            </w:r>
            <w:r>
              <w:rPr>
                <w:rFonts w:hint="default" w:ascii="仿宋_GB2312" w:hAnsi="仿宋_GB2312" w:eastAsia="仿宋_GB2312" w:cs="仿宋_GB2312"/>
                <w:sz w:val="24"/>
                <w:szCs w:val="24"/>
                <w:lang w:val="en-US" w:eastAsia="zh-CN"/>
              </w:rPr>
              <w:t>2019年9月</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被海口市打赢脱贫攻坚战指挥部授予全市“最美扶贫人”（地市级工作部门）</w:t>
            </w:r>
            <w:r>
              <w:rPr>
                <w:rFonts w:hint="default"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    </w:t>
            </w:r>
            <w:r>
              <w:rPr>
                <w:rFonts w:hint="default" w:ascii="仿宋_GB2312" w:hAnsi="仿宋_GB2312" w:eastAsia="仿宋_GB2312" w:cs="仿宋_GB2312"/>
                <w:sz w:val="24"/>
                <w:szCs w:val="24"/>
                <w:lang w:val="en-US" w:eastAsia="zh-CN"/>
              </w:rPr>
              <w:t>2020年10月，被海口市委、海口市人民政府授予“2018-2019年度海口市打赢脱贫攻坚战先进个人”（地市级）</w:t>
            </w:r>
            <w:r>
              <w:rPr>
                <w:rFonts w:hint="default"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    </w:t>
            </w:r>
            <w:r>
              <w:rPr>
                <w:rFonts w:hint="default" w:ascii="仿宋_GB2312" w:hAnsi="仿宋_GB2312" w:eastAsia="仿宋_GB2312" w:cs="仿宋_GB2312"/>
                <w:sz w:val="24"/>
                <w:szCs w:val="24"/>
                <w:lang w:val="en-US" w:eastAsia="zh-CN"/>
              </w:rPr>
              <w:t>2022年3月，被海口市妇联授予“最美巾帼奋斗者”（地市级工作部门）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jc w:val="center"/>
        </w:trPr>
        <w:tc>
          <w:tcPr>
            <w:tcW w:w="13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何时何地</w:t>
            </w:r>
          </w:p>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受过何种</w:t>
            </w:r>
          </w:p>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处分</w:t>
            </w:r>
          </w:p>
        </w:tc>
        <w:tc>
          <w:tcPr>
            <w:tcW w:w="7228" w:type="dxa"/>
            <w:gridSpan w:val="5"/>
            <w:tcBorders>
              <w:top w:val="single" w:color="auto" w:sz="4" w:space="0"/>
              <w:left w:val="single" w:color="auto" w:sz="4" w:space="0"/>
              <w:bottom w:val="single" w:color="auto" w:sz="4" w:space="0"/>
              <w:right w:val="single" w:color="auto" w:sz="4" w:space="0"/>
            </w:tcBorders>
            <w:noWrap w:val="0"/>
            <w:vAlign w:val="center"/>
          </w:tcPr>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无</w:t>
            </w: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9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主要先进事迹简介（1500字左右）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8" w:hRule="exact"/>
          <w:jc w:val="center"/>
        </w:trPr>
        <w:tc>
          <w:tcPr>
            <w:tcW w:w="859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60" w:line="300" w:lineRule="exact"/>
              <w:ind w:left="0" w:leftChars="0" w:right="102"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琛，女，汉族，研究生学历，经济学硕士、公共管理学硕士，现任海口市财政局经济建设科科长。该同志自2010年进入海口市财政局工作以来，在工作岗位上勤勉笃行、任劳任怨，经历预算、办公室、国库、农业农村、经济建设等多岗位锻炼。她深耕专业领域，锚定目标任务，强化责任担当，先后主动牵头肩负起预算收支执行分析、政府综合财务报告分析、财政国库管理与改革、政府与社会资本合作（PPP）项目推动实施、财政支农政策调研、产业扶持及招商引资政策研究、规范政府投资项目资金管理、地方政府专项债券使用管理等重要职责。她善带队伍，带领的农业农村科2019年被评为全国财政系统先进集体，经建科多名同志获得全市先进个人称号。她勇于创新，就科技创新、扶持壮大农村集体经济发展、城市更新、“六水共治”投融资体制创新等多领域撰写报告信息，多篇被市委主要领导和政协领导批示，促进相关部门完善制度，为海口经济高质量发展和自贸港建设贡献财政干部的智慧和力量。</w:t>
            </w:r>
          </w:p>
          <w:p>
            <w:pPr>
              <w:keepNext w:val="0"/>
              <w:keepLines w:val="0"/>
              <w:pageBreakBefore w:val="0"/>
              <w:widowControl w:val="0"/>
              <w:kinsoku/>
              <w:wordWrap/>
              <w:overflowPunct/>
              <w:topLinePunct w:val="0"/>
              <w:autoSpaceDE/>
              <w:autoSpaceDN/>
              <w:bidi w:val="0"/>
              <w:adjustRightInd/>
              <w:snapToGrid/>
              <w:spacing w:before="60" w:line="300" w:lineRule="exact"/>
              <w:ind w:right="10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    一、深耕业务，她是助力经济提质的“巧管家”</w:t>
            </w:r>
          </w:p>
          <w:p>
            <w:pPr>
              <w:keepNext w:val="0"/>
              <w:keepLines w:val="0"/>
              <w:pageBreakBefore w:val="0"/>
              <w:widowControl w:val="0"/>
              <w:kinsoku/>
              <w:wordWrap/>
              <w:overflowPunct/>
              <w:topLinePunct w:val="0"/>
              <w:autoSpaceDE/>
              <w:autoSpaceDN/>
              <w:bidi w:val="0"/>
              <w:adjustRightInd/>
              <w:snapToGrid/>
              <w:spacing w:before="60" w:line="300" w:lineRule="exact"/>
              <w:ind w:right="10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default" w:ascii="仿宋_GB2312" w:hAnsi="仿宋_GB2312" w:eastAsia="仿宋_GB2312" w:cs="仿宋_GB2312"/>
                <w:sz w:val="24"/>
                <w:szCs w:val="24"/>
                <w:lang w:val="en-US" w:eastAsia="zh-CN"/>
              </w:rPr>
              <w:t>她立足财政本职工作，学深学透政策法规，加强与发改、资规、住建等要素保障部门联动，围绕“国债”“中央预算内投资”“封关运作”等重点建设项目，深入项目一线，与各参建单位深入沟通对接，凝聚合力推进项目更快更好开工建设。针对政府投资项目计划与预算编制周期不同步的问题，以及项目建设时间紧任务重环节多的痛点和难点，优化政府投资项目预算管理流程。按照“一个部门一本预算”，首次将政府投资项目资金编入各部门预算，通过严格财力支撑分析，着力解决超财政承受能力盲目上项目的问题，从源头上防范政府债务风险。研究并实现按行业主管部门归口管理，为更好统筹保障各领域民生事业发展规划，打通项目谋划、资金申请、资金结算、资产移交等项目管理堵点，奠定坚实基础。</w:t>
            </w:r>
          </w:p>
          <w:p>
            <w:pPr>
              <w:keepNext w:val="0"/>
              <w:keepLines w:val="0"/>
              <w:pageBreakBefore w:val="0"/>
              <w:widowControl w:val="0"/>
              <w:kinsoku/>
              <w:wordWrap/>
              <w:overflowPunct/>
              <w:topLinePunct w:val="0"/>
              <w:autoSpaceDE/>
              <w:autoSpaceDN/>
              <w:bidi w:val="0"/>
              <w:adjustRightInd/>
              <w:snapToGrid/>
              <w:spacing w:before="60" w:line="300" w:lineRule="exact"/>
              <w:ind w:right="10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 xml:space="preserve">    二、向上争取，她是积极筹措资金的“先锋员”</w:t>
            </w:r>
          </w:p>
          <w:p>
            <w:pPr>
              <w:keepNext w:val="0"/>
              <w:keepLines w:val="0"/>
              <w:pageBreakBefore w:val="0"/>
              <w:widowControl w:val="0"/>
              <w:kinsoku/>
              <w:wordWrap/>
              <w:overflowPunct/>
              <w:topLinePunct w:val="0"/>
              <w:autoSpaceDE/>
              <w:autoSpaceDN/>
              <w:bidi w:val="0"/>
              <w:adjustRightInd/>
              <w:snapToGrid/>
              <w:spacing w:before="60" w:line="300" w:lineRule="exact"/>
              <w:ind w:left="0" w:leftChars="0" w:right="102" w:firstLine="420" w:firstLineChars="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海口</w:t>
            </w:r>
            <w:r>
              <w:rPr>
                <w:rFonts w:hint="eastAsia" w:ascii="仿宋_GB2312" w:hAnsi="仿宋_GB2312" w:eastAsia="仿宋_GB2312" w:cs="仿宋_GB2312"/>
                <w:sz w:val="24"/>
                <w:szCs w:val="24"/>
                <w:lang w:val="en-US" w:eastAsia="zh-CN"/>
              </w:rPr>
              <w:t>市</w:t>
            </w:r>
            <w:r>
              <w:rPr>
                <w:rFonts w:hint="default" w:ascii="仿宋_GB2312" w:hAnsi="仿宋_GB2312" w:eastAsia="仿宋_GB2312" w:cs="仿宋_GB2312"/>
                <w:sz w:val="24"/>
                <w:szCs w:val="24"/>
                <w:lang w:val="en-US" w:eastAsia="zh-CN"/>
              </w:rPr>
              <w:t>作为最年轻的省会城市，起步晚、底子薄、历史欠帐多，在近几年财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3" w:hRule="exact"/>
          <w:jc w:val="center"/>
        </w:trPr>
        <w:tc>
          <w:tcPr>
            <w:tcW w:w="859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60" w:line="300" w:lineRule="exact"/>
              <w:ind w:right="102" w:rightChars="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政收支持续紧平衡的形势下，她主动作为、靠前服务，指导主管部门谋划项目，拓宽资金筹措渠道。会同各区、各部门积极参加中央专项资金竞争性评选，2023年9月海口市获评</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全国第一批中小企业数字化转型城市</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争取到中央资金1.5亿元。海口市与三亚市联合申报国家综合货运枢纽评选，2024年8月成功入围“国家综合货运枢纽补链强链支持城市”，为两市争取三年最高15亿元的奖补资金。她聚焦全市重点投资领域，抢抓专项债券政策“窗口期”，联合发改部门全力做好项目谋划申报和债券资金争取工作，近三年每年度争取地债资金规模超百亿元。同时，带领科室同志研究强化专项债券“借、用、管、还”全生命周期管理，提高债券配置效率和使用效益，通过债券资金的精准投放和高效使用，保障了300多个重大基础设施建设项目、民生“补短板”项目相继推进并投入使用，为全市高质量发展夯实基础、增强后劲。</w:t>
            </w:r>
          </w:p>
          <w:p>
            <w:pPr>
              <w:keepNext w:val="0"/>
              <w:keepLines w:val="0"/>
              <w:pageBreakBefore w:val="0"/>
              <w:widowControl w:val="0"/>
              <w:numPr>
                <w:ilvl w:val="0"/>
                <w:numId w:val="0"/>
              </w:numPr>
              <w:kinsoku/>
              <w:wordWrap/>
              <w:overflowPunct/>
              <w:topLinePunct w:val="0"/>
              <w:autoSpaceDE/>
              <w:autoSpaceDN/>
              <w:bidi w:val="0"/>
              <w:adjustRightInd/>
              <w:snapToGrid/>
              <w:spacing w:before="60" w:line="300" w:lineRule="exact"/>
              <w:ind w:right="102" w:rightChars="0" w:firstLine="482" w:firstLineChars="200"/>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b/>
                <w:bCs/>
                <w:sz w:val="24"/>
                <w:szCs w:val="24"/>
                <w:lang w:val="en-US" w:eastAsia="zh-CN"/>
              </w:rPr>
              <w:t>三、迎难而上</w:t>
            </w:r>
            <w:r>
              <w:rPr>
                <w:rFonts w:hint="eastAsia" w:ascii="仿宋_GB2312" w:hAnsi="仿宋_GB2312" w:eastAsia="仿宋_GB2312" w:cs="仿宋_GB2312"/>
                <w:b/>
                <w:bCs/>
                <w:sz w:val="24"/>
                <w:szCs w:val="24"/>
                <w:lang w:val="en-US" w:eastAsia="zh-CN"/>
              </w:rPr>
              <w:t>，</w:t>
            </w:r>
            <w:r>
              <w:rPr>
                <w:rFonts w:hint="default" w:ascii="仿宋_GB2312" w:hAnsi="仿宋_GB2312" w:eastAsia="仿宋_GB2312" w:cs="仿宋_GB2312"/>
                <w:b/>
                <w:bCs/>
                <w:sz w:val="24"/>
                <w:szCs w:val="24"/>
                <w:lang w:val="en-US" w:eastAsia="zh-CN"/>
              </w:rPr>
              <w:t>她是锐意改革创新的“践行者”</w:t>
            </w:r>
            <w:r>
              <w:rPr>
                <w:rFonts w:hint="default"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    </w:t>
            </w:r>
            <w:r>
              <w:rPr>
                <w:rFonts w:hint="default" w:ascii="仿宋_GB2312" w:hAnsi="仿宋_GB2312" w:eastAsia="仿宋_GB2312" w:cs="仿宋_GB2312"/>
                <w:sz w:val="24"/>
                <w:szCs w:val="24"/>
                <w:lang w:val="en-US" w:eastAsia="zh-CN"/>
              </w:rPr>
              <w:t>针对海口市重点产业尚未形成集群发展态势、科技创新投入引导机制不完善、企业自主研发能力不强、高能级创新平台少、高层次人才依然紧缺等问题，她组织科室研究撰写《关于提升海口市研发经费投入强度的报告》，从政策、资金、人才等方面提出提升我市研发投入强度的建议。为提升经济增长质效，奠定财政收入增长根基，她以支持实体经济为着力点，加大财政扶持产业发展力度，与相关部门研究制定“做强工业经济二十条”、支持高新技术产业、生物医药产业高质量发展等一系列政策措施，重点支持工业、生物医药、高新技术、会展业等优势主导产业做大规模、提升档次、壮大集群，为</w:t>
            </w:r>
            <w:r>
              <w:rPr>
                <w:rFonts w:hint="eastAsia" w:ascii="仿宋_GB2312" w:hAnsi="仿宋_GB2312" w:eastAsia="仿宋_GB2312" w:cs="仿宋_GB2312"/>
                <w:sz w:val="24"/>
                <w:szCs w:val="24"/>
                <w:lang w:val="en-US" w:eastAsia="zh-CN"/>
              </w:rPr>
              <w:t>海口</w:t>
            </w:r>
            <w:r>
              <w:rPr>
                <w:rFonts w:hint="default" w:ascii="仿宋_GB2312" w:hAnsi="仿宋_GB2312" w:eastAsia="仿宋_GB2312" w:cs="仿宋_GB2312"/>
                <w:sz w:val="24"/>
                <w:szCs w:val="24"/>
                <w:lang w:val="en-US" w:eastAsia="zh-CN"/>
              </w:rPr>
              <w:t>市经济结构调整和产业转型升级提供强力支撑。她充分发挥财政金融“双轮”驱动作用，专项债作项目资本金实现“零突破”，2022年海口空港综合保税区多功能物流仓储中心、海口国家高新区美安孵化中心等2个项目获批市场化融资贷款3,000万元，海口市专项债用作项目资本金实现首单落地，有效提升专项债扩大有效投资、补短板、稳增长的作用，为发挥专项债在全市重点领域的撬动作用，以存量项目带动增量资本投入积累宝贵经验。</w:t>
            </w:r>
          </w:p>
          <w:p>
            <w:pPr>
              <w:keepNext w:val="0"/>
              <w:keepLines w:val="0"/>
              <w:pageBreakBefore w:val="0"/>
              <w:widowControl w:val="0"/>
              <w:kinsoku/>
              <w:wordWrap/>
              <w:overflowPunct/>
              <w:topLinePunct w:val="0"/>
              <w:autoSpaceDE/>
              <w:autoSpaceDN/>
              <w:bidi w:val="0"/>
              <w:adjustRightInd/>
              <w:snapToGrid/>
              <w:spacing w:before="60" w:line="300" w:lineRule="exact"/>
              <w:ind w:left="0" w:leftChars="0" w:right="102"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4"/>
                <w:szCs w:val="24"/>
                <w:lang w:val="en-US" w:eastAsia="zh-CN"/>
              </w:rPr>
              <w:t xml:space="preserve">    栉风沐雨不辞苦，守护坦途谱新歌。在海南自贸港建设的攻坚阶段，陈琛同志将切实增强责任感和使命感，在困难和挑战中自我加压，紧盯“发展所需”，用足“财政所能”，以积极财政作为争当服务大局的“中坚力量”，为建设海南自贸港核心区和现代化国际化新海口贡献力量。</w:t>
            </w:r>
          </w:p>
          <w:p>
            <w:pPr>
              <w:keepNext w:val="0"/>
              <w:keepLines w:val="0"/>
              <w:pageBreakBefore w:val="0"/>
              <w:widowControl w:val="0"/>
              <w:kinsoku/>
              <w:wordWrap/>
              <w:overflowPunct/>
              <w:topLinePunct w:val="0"/>
              <w:autoSpaceDE/>
              <w:autoSpaceDN/>
              <w:bidi w:val="0"/>
              <w:adjustRightInd/>
              <w:snapToGrid/>
              <w:spacing w:before="60" w:line="310" w:lineRule="exact"/>
              <w:ind w:left="0" w:leftChars="0" w:right="102" w:firstLine="0" w:firstLineChars="0"/>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60" w:line="310" w:lineRule="exact"/>
              <w:ind w:left="0" w:leftChars="0" w:right="102" w:firstLine="0" w:firstLineChars="0"/>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60" w:line="310" w:lineRule="exact"/>
              <w:ind w:left="0" w:leftChars="0" w:right="102" w:firstLine="0" w:firstLineChars="0"/>
              <w:textAlignment w:val="auto"/>
              <w:rPr>
                <w:rFonts w:hint="eastAsia" w:ascii="仿宋_GB2312" w:hAnsi="仿宋_GB2312" w:eastAsia="仿宋_GB2312" w:cs="仿宋_GB2312"/>
                <w:sz w:val="21"/>
                <w:szCs w:val="21"/>
                <w:lang w:val="en" w:eastAsia="zh-CN"/>
              </w:rPr>
            </w:pP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宋体" w:eastAsia="方正小标宋_GBK" w:cs="宋体"/>
          <w:bCs/>
          <w:kern w:val="0"/>
          <w:sz w:val="36"/>
          <w:szCs w:val="36"/>
          <w:highlight w:val="none"/>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500"/>
  <w:hyphenationZone w:val="360"/>
  <w:displayHorizontalDrawingGridEvery w:val="1"/>
  <w:displayVerticalDrawingGridEvery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EF4B94"/>
    <w:rsid w:val="69DF9A17"/>
    <w:rsid w:val="6F0538AD"/>
    <w:rsid w:val="6FFA0417"/>
    <w:rsid w:val="74FD2E1A"/>
    <w:rsid w:val="7FFB26DD"/>
    <w:rsid w:val="9B1F485D"/>
    <w:rsid w:val="9EFF8164"/>
    <w:rsid w:val="B1F7FC78"/>
    <w:rsid w:val="BA36F150"/>
    <w:rsid w:val="C3FFF6EB"/>
    <w:rsid w:val="E6AD221A"/>
    <w:rsid w:val="E9777781"/>
    <w:rsid w:val="FFFC0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5"/>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Body Text Indent 2"/>
    <w:basedOn w:val="1"/>
    <w:qFormat/>
    <w:uiPriority w:val="0"/>
    <w:pPr>
      <w:spacing w:after="120" w:afterLines="0" w:afterAutospacing="0" w:line="480" w:lineRule="auto"/>
      <w:ind w:left="420" w:leftChars="200"/>
    </w:pPr>
  </w:style>
  <w:style w:type="paragraph" w:styleId="4">
    <w:name w:val="footnote text"/>
    <w:qFormat/>
    <w:uiPriority w:val="0"/>
    <w:pPr>
      <w:widowControl w:val="0"/>
      <w:snapToGrid w:val="0"/>
    </w:pPr>
    <w:rPr>
      <w:rFonts w:ascii="Calibri" w:hAnsi="Calibri" w:eastAsia="宋体" w:cs="Times New Roman"/>
      <w:kern w:val="2"/>
      <w:sz w:val="18"/>
      <w:szCs w:val="24"/>
      <w:lang w:val="en-US" w:eastAsia="zh-CN" w:bidi="ar-SA"/>
    </w:rPr>
  </w:style>
  <w:style w:type="paragraph" w:customStyle="1" w:styleId="7">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8">
    <w:name w:val="NormalIndent"/>
    <w:basedOn w:val="1"/>
    <w:qFormat/>
    <w:uiPriority w:val="0"/>
    <w:pPr>
      <w:ind w:firstLine="964" w:firstLine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19.3333333333333</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2024-11-05T16:04:23Z</dcterms:created>
  <dc:creator>uos</dc:creator>
  <cp:lastModifiedBy>科技服务中心收发员</cp:lastModifiedBy>
  <dcterms:modified xsi:type="dcterms:W3CDTF">2024-11-06T08:45:39Z</dcterms:modified>
  <dc:title>公  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78B121D1B7984DD59FD9739CAAFC0EE9_13</vt:lpwstr>
  </property>
</Properties>
</file>