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rPr>
          <w:rFonts w:eastAsiaTheme="majorEastAsia"/>
          <w:b/>
          <w:sz w:val="44"/>
          <w:szCs w:val="44"/>
        </w:rPr>
      </w:pPr>
      <w:r>
        <w:rPr>
          <w:rFonts w:hint="default" w:hAnsi="Times New Roman" w:eastAsiaTheme="majorEastAsia"/>
          <w:b/>
          <w:sz w:val="44"/>
          <w:szCs w:val="44"/>
        </w:rPr>
        <w:t>关于202</w:t>
      </w:r>
      <w:r>
        <w:rPr>
          <w:rFonts w:hint="default" w:hAnsi="Times New Roman" w:eastAsiaTheme="majorEastAsia"/>
          <w:b/>
          <w:sz w:val="44"/>
          <w:szCs w:val="44"/>
          <w:lang w:val="en-US" w:eastAsia="zh-CN"/>
        </w:rPr>
        <w:t>4</w:t>
      </w:r>
      <w:r>
        <w:rPr>
          <w:rFonts w:hint="default" w:hAnsi="Times New Roman" w:eastAsiaTheme="majorEastAsia"/>
          <w:b/>
          <w:sz w:val="44"/>
          <w:szCs w:val="44"/>
        </w:rPr>
        <w:t>年海南省省级一般公共预算支出预算的说明</w:t>
      </w:r>
    </w:p>
    <w:p>
      <w:pPr>
        <w:spacing w:line="578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578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年省本级地方一般公共预算支出</w:t>
      </w:r>
      <w:r>
        <w:rPr>
          <w:rFonts w:hint="eastAsia" w:eastAsia="仿宋_GB2312"/>
          <w:sz w:val="32"/>
          <w:szCs w:val="32"/>
          <w:lang w:val="en-US" w:eastAsia="zh-CN"/>
        </w:rPr>
        <w:t>700.3</w:t>
      </w:r>
      <w:r>
        <w:rPr>
          <w:rFonts w:eastAsia="仿宋_GB2312"/>
          <w:sz w:val="32"/>
          <w:szCs w:val="32"/>
        </w:rPr>
        <w:t>亿元，比202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年初预算数</w:t>
      </w:r>
      <w:r>
        <w:rPr>
          <w:rFonts w:hint="eastAsia" w:eastAsia="仿宋_GB2312"/>
          <w:sz w:val="32"/>
          <w:szCs w:val="32"/>
          <w:lang w:eastAsia="zh-CN"/>
        </w:rPr>
        <w:t>增加</w:t>
      </w:r>
      <w:r>
        <w:rPr>
          <w:rFonts w:hint="eastAsia" w:eastAsia="仿宋_GB2312"/>
          <w:sz w:val="32"/>
          <w:szCs w:val="32"/>
          <w:lang w:val="en-US" w:eastAsia="zh-CN"/>
        </w:rPr>
        <w:t>63.3</w:t>
      </w:r>
      <w:r>
        <w:rPr>
          <w:rFonts w:eastAsia="仿宋_GB2312"/>
          <w:sz w:val="32"/>
          <w:szCs w:val="32"/>
        </w:rPr>
        <w:t>亿元</w:t>
      </w:r>
      <w:r>
        <w:rPr>
          <w:rFonts w:hint="eastAsia" w:eastAsia="仿宋_GB2312"/>
          <w:sz w:val="32"/>
          <w:szCs w:val="32"/>
          <w:lang w:eastAsia="zh-CN"/>
        </w:rPr>
        <w:t>，增加</w:t>
      </w:r>
      <w:r>
        <w:rPr>
          <w:rFonts w:hint="eastAsia" w:eastAsia="仿宋_GB2312"/>
          <w:sz w:val="32"/>
          <w:szCs w:val="32"/>
          <w:lang w:val="en-US" w:eastAsia="zh-CN"/>
        </w:rPr>
        <w:t>9.9</w:t>
      </w:r>
      <w:r>
        <w:rPr>
          <w:rFonts w:eastAsia="仿宋_GB2312"/>
          <w:sz w:val="32"/>
          <w:szCs w:val="32"/>
        </w:rPr>
        <w:t>%。主要如下：</w:t>
      </w:r>
    </w:p>
    <w:p>
      <w:pPr>
        <w:keepNext w:val="0"/>
        <w:keepLines w:val="0"/>
        <w:pageBreakBefore w:val="0"/>
        <w:numPr>
          <w:ilvl w:val="0"/>
          <w:numId w:val="1"/>
        </w:numPr>
        <w:pBdr>
          <w:bottom w:val="single" w:color="FFFFFF" w:sz="4" w:space="31"/>
        </w:pBdr>
        <w:kinsoku/>
        <w:wordWrap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eastAsia="仿宋"/>
          <w:sz w:val="32"/>
          <w:szCs w:val="32"/>
        </w:rPr>
        <w:t>公共安全支出科目55.7亿元，比2023年预算数增加4.2亿元，增长8.1%，主要是综合执法点基础设施建设</w:t>
      </w:r>
      <w:r>
        <w:rPr>
          <w:rFonts w:hint="eastAsia" w:eastAsia="仿宋"/>
          <w:sz w:val="32"/>
          <w:szCs w:val="32"/>
          <w:lang w:eastAsia="zh-CN"/>
        </w:rPr>
        <w:t>等重点项目支出增加</w:t>
      </w:r>
      <w:r>
        <w:rPr>
          <w:rFonts w:hint="default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pBdr>
          <w:bottom w:val="single" w:color="FFFFFF" w:sz="4" w:space="31"/>
        </w:pBdr>
        <w:kinsoku/>
        <w:wordWrap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eastAsia="仿宋"/>
          <w:sz w:val="32"/>
          <w:szCs w:val="32"/>
        </w:rPr>
        <w:t>教育支出科目91.7亿元，比2023年预算数增加12.2亿元，增长15.3%，主要是增加</w:t>
      </w:r>
      <w:r>
        <w:rPr>
          <w:rFonts w:hint="eastAsia" w:eastAsia="仿宋"/>
          <w:sz w:val="32"/>
          <w:szCs w:val="32"/>
          <w:lang w:eastAsia="zh-CN"/>
        </w:rPr>
        <w:t>对</w:t>
      </w:r>
      <w:r>
        <w:rPr>
          <w:rFonts w:hint="default" w:eastAsia="仿宋"/>
          <w:sz w:val="32"/>
          <w:szCs w:val="32"/>
        </w:rPr>
        <w:t>基础教育</w:t>
      </w:r>
      <w:r>
        <w:rPr>
          <w:rFonts w:hint="eastAsia" w:eastAsia="仿宋"/>
          <w:sz w:val="32"/>
          <w:szCs w:val="32"/>
          <w:lang w:eastAsia="zh-CN"/>
        </w:rPr>
        <w:t>、</w:t>
      </w:r>
      <w:r>
        <w:rPr>
          <w:rFonts w:hint="default" w:eastAsia="仿宋"/>
          <w:sz w:val="32"/>
          <w:szCs w:val="32"/>
        </w:rPr>
        <w:t>海南医学院、海南大学等院校</w:t>
      </w:r>
      <w:r>
        <w:rPr>
          <w:rFonts w:hint="eastAsia" w:eastAsia="仿宋"/>
          <w:sz w:val="32"/>
          <w:szCs w:val="32"/>
          <w:lang w:eastAsia="zh-CN"/>
        </w:rPr>
        <w:t>财政</w:t>
      </w:r>
      <w:r>
        <w:rPr>
          <w:rFonts w:hint="default" w:eastAsia="仿宋"/>
          <w:sz w:val="32"/>
          <w:szCs w:val="32"/>
        </w:rPr>
        <w:t>投入。</w:t>
      </w:r>
    </w:p>
    <w:p>
      <w:pPr>
        <w:keepNext w:val="0"/>
        <w:keepLines w:val="0"/>
        <w:pageBreakBefore w:val="0"/>
        <w:numPr>
          <w:ilvl w:val="0"/>
          <w:numId w:val="1"/>
        </w:numPr>
        <w:pBdr>
          <w:bottom w:val="single" w:color="FFFFFF" w:sz="4" w:space="31"/>
        </w:pBdr>
        <w:kinsoku/>
        <w:wordWrap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eastAsia="仿宋"/>
          <w:sz w:val="32"/>
          <w:szCs w:val="32"/>
        </w:rPr>
        <w:t>文化旅游体育与传媒支出科目14.4亿元，比2023年预算数增加1.6亿元，增长12.3%，主要是</w:t>
      </w:r>
      <w:r>
        <w:rPr>
          <w:rFonts w:hint="eastAsia" w:eastAsia="仿宋"/>
          <w:sz w:val="32"/>
          <w:szCs w:val="32"/>
          <w:lang w:eastAsia="zh-CN"/>
        </w:rPr>
        <w:t>加大项目建设</w:t>
      </w:r>
      <w:r>
        <w:rPr>
          <w:rFonts w:hint="default" w:eastAsia="仿宋"/>
          <w:sz w:val="32"/>
          <w:szCs w:val="32"/>
        </w:rPr>
        <w:t>及</w:t>
      </w:r>
      <w:r>
        <w:rPr>
          <w:rFonts w:hint="eastAsia" w:eastAsia="仿宋"/>
          <w:sz w:val="32"/>
          <w:szCs w:val="32"/>
          <w:lang w:eastAsia="zh-CN"/>
        </w:rPr>
        <w:t>文化旅游体育相关</w:t>
      </w:r>
      <w:r>
        <w:rPr>
          <w:rFonts w:hint="default" w:eastAsia="仿宋"/>
          <w:sz w:val="32"/>
          <w:szCs w:val="32"/>
        </w:rPr>
        <w:t>产业发展</w:t>
      </w:r>
      <w:r>
        <w:rPr>
          <w:rFonts w:hint="eastAsia" w:eastAsia="仿宋"/>
          <w:sz w:val="32"/>
          <w:szCs w:val="32"/>
          <w:lang w:eastAsia="zh-CN"/>
        </w:rPr>
        <w:t>投入</w:t>
      </w:r>
      <w:r>
        <w:rPr>
          <w:rFonts w:hint="default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pBdr>
          <w:bottom w:val="single" w:color="FFFFFF" w:sz="4" w:space="31"/>
        </w:pBdr>
        <w:kinsoku/>
        <w:wordWrap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eastAsia="仿宋"/>
          <w:sz w:val="32"/>
          <w:szCs w:val="32"/>
        </w:rPr>
      </w:pPr>
      <w:r>
        <w:rPr>
          <w:rFonts w:hint="default" w:eastAsia="仿宋"/>
          <w:sz w:val="32"/>
          <w:szCs w:val="32"/>
        </w:rPr>
        <w:t>节能环保支出科目9.1亿元，比2023年预算数增加0.6亿元，增长6.7%，主要是热带雨林国家公园建设支出增加。</w:t>
      </w:r>
    </w:p>
    <w:p>
      <w:pPr>
        <w:keepNext w:val="0"/>
        <w:keepLines w:val="0"/>
        <w:pageBreakBefore w:val="0"/>
        <w:numPr>
          <w:ilvl w:val="0"/>
          <w:numId w:val="1"/>
        </w:numPr>
        <w:pBdr>
          <w:bottom w:val="single" w:color="FFFFFF" w:sz="4" w:space="31"/>
        </w:pBdr>
        <w:kinsoku/>
        <w:wordWrap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eastAsia="仿宋"/>
          <w:sz w:val="32"/>
          <w:szCs w:val="32"/>
        </w:rPr>
      </w:pPr>
      <w:r>
        <w:rPr>
          <w:rFonts w:hint="default" w:eastAsia="仿宋"/>
          <w:sz w:val="32"/>
          <w:szCs w:val="32"/>
        </w:rPr>
        <w:t>农林水支出科目48.1亿元，比2023年预算数增加8.6亿元，增长21.6%，主要是</w:t>
      </w:r>
      <w:r>
        <w:rPr>
          <w:rFonts w:hint="eastAsia" w:eastAsia="仿宋"/>
          <w:sz w:val="32"/>
          <w:szCs w:val="32"/>
          <w:lang w:eastAsia="zh-CN"/>
        </w:rPr>
        <w:t>中央增发国债资金对应安排的农林水项目建设支出增加</w:t>
      </w:r>
      <w:r>
        <w:rPr>
          <w:rFonts w:hint="default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-1"/>
          <w:numId w:val="0"/>
        </w:numPr>
        <w:pBdr>
          <w:bottom w:val="single" w:color="FFFFFF" w:sz="4" w:space="31"/>
        </w:pBdr>
        <w:kinsoku/>
        <w:wordWrap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eastAsia="仿宋"/>
          <w:sz w:val="32"/>
          <w:szCs w:val="32"/>
        </w:rPr>
      </w:pPr>
      <w:r>
        <w:rPr>
          <w:rFonts w:hint="eastAsia" w:eastAsia="仿宋"/>
          <w:sz w:val="32"/>
          <w:szCs w:val="32"/>
          <w:lang w:val="en-US" w:eastAsia="zh-CN"/>
        </w:rPr>
        <w:t>6.</w:t>
      </w:r>
      <w:r>
        <w:rPr>
          <w:rFonts w:hint="default" w:eastAsia="仿宋"/>
          <w:sz w:val="32"/>
          <w:szCs w:val="32"/>
        </w:rPr>
        <w:t>交通运输支出科目20.3亿元，比2023年预算数增加2.4亿元，</w:t>
      </w:r>
      <w:r>
        <w:rPr>
          <w:rFonts w:hint="eastAsia" w:eastAsia="仿宋"/>
          <w:sz w:val="32"/>
          <w:szCs w:val="32"/>
          <w:lang w:eastAsia="zh-CN"/>
        </w:rPr>
        <w:t>增长</w:t>
      </w:r>
      <w:r>
        <w:rPr>
          <w:rFonts w:hint="default" w:eastAsia="仿宋"/>
          <w:sz w:val="32"/>
          <w:szCs w:val="32"/>
        </w:rPr>
        <w:t>13.4%，主要是新增安排琼海博鳌和三亚凤凰机场</w:t>
      </w:r>
      <w:r>
        <w:rPr>
          <w:rFonts w:hint="eastAsia" w:eastAsia="仿宋"/>
          <w:sz w:val="32"/>
          <w:szCs w:val="32"/>
          <w:lang w:eastAsia="zh-CN"/>
        </w:rPr>
        <w:t>（三期）</w:t>
      </w:r>
      <w:r>
        <w:rPr>
          <w:rFonts w:hint="default" w:eastAsia="仿宋"/>
          <w:sz w:val="32"/>
          <w:szCs w:val="32"/>
        </w:rPr>
        <w:t>建设资金。</w:t>
      </w:r>
    </w:p>
    <w:p>
      <w:pPr>
        <w:keepNext w:val="0"/>
        <w:keepLines w:val="0"/>
        <w:pageBreakBefore w:val="0"/>
        <w:numPr>
          <w:ilvl w:val="-1"/>
          <w:numId w:val="0"/>
        </w:numPr>
        <w:pBdr>
          <w:bottom w:val="single" w:color="FFFFFF" w:sz="4" w:space="31"/>
        </w:pBdr>
        <w:kinsoku/>
        <w:wordWrap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eastAsia="仿宋"/>
          <w:sz w:val="32"/>
          <w:szCs w:val="32"/>
        </w:rPr>
      </w:pPr>
      <w:r>
        <w:rPr>
          <w:rFonts w:hint="eastAsia" w:eastAsia="仿宋"/>
          <w:sz w:val="32"/>
          <w:szCs w:val="32"/>
          <w:lang w:val="en-US" w:eastAsia="zh-CN"/>
        </w:rPr>
        <w:t>7.</w:t>
      </w:r>
      <w:r>
        <w:rPr>
          <w:rFonts w:hint="default" w:eastAsia="仿宋"/>
          <w:sz w:val="32"/>
          <w:szCs w:val="32"/>
        </w:rPr>
        <w:t>资源勘探工业信息支出科目29.8亿元，比2023年预算数增加10亿元，增长50.5%，主要是自贸港重点园区及重点产业投入增加。</w:t>
      </w:r>
    </w:p>
    <w:p>
      <w:pPr>
        <w:keepNext w:val="0"/>
        <w:keepLines w:val="0"/>
        <w:pageBreakBefore w:val="0"/>
        <w:numPr>
          <w:ilvl w:val="-1"/>
          <w:numId w:val="0"/>
        </w:numPr>
        <w:pBdr>
          <w:bottom w:val="single" w:color="FFFFFF" w:sz="4" w:space="31"/>
        </w:pBdr>
        <w:kinsoku/>
        <w:wordWrap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eastAsia="仿宋"/>
          <w:sz w:val="32"/>
          <w:szCs w:val="32"/>
        </w:rPr>
      </w:pPr>
      <w:r>
        <w:rPr>
          <w:rFonts w:hint="eastAsia" w:eastAsia="仿宋"/>
          <w:sz w:val="32"/>
          <w:szCs w:val="32"/>
          <w:lang w:val="en-US" w:eastAsia="zh-CN"/>
        </w:rPr>
        <w:t>8.</w:t>
      </w:r>
      <w:r>
        <w:rPr>
          <w:rFonts w:hint="default" w:eastAsia="仿宋"/>
          <w:sz w:val="32"/>
          <w:szCs w:val="32"/>
        </w:rPr>
        <w:t>商业服务业支出科目1.3亿元，比2023年预算数减少0.7亿元，下降36.2%，主要是</w:t>
      </w:r>
      <w:r>
        <w:rPr>
          <w:rFonts w:hint="eastAsia" w:eastAsia="仿宋"/>
          <w:sz w:val="32"/>
          <w:szCs w:val="32"/>
          <w:lang w:eastAsia="zh-CN"/>
        </w:rPr>
        <w:t>中央财政</w:t>
      </w:r>
      <w:r>
        <w:rPr>
          <w:rFonts w:hint="default" w:eastAsia="仿宋"/>
          <w:sz w:val="32"/>
          <w:szCs w:val="32"/>
        </w:rPr>
        <w:t>提前下达的商业服务业资金减少。</w:t>
      </w:r>
    </w:p>
    <w:p>
      <w:pPr>
        <w:keepNext w:val="0"/>
        <w:keepLines w:val="0"/>
        <w:pageBreakBefore w:val="0"/>
        <w:numPr>
          <w:ilvl w:val="-1"/>
          <w:numId w:val="0"/>
        </w:numPr>
        <w:pBdr>
          <w:bottom w:val="single" w:color="FFFFFF" w:sz="4" w:space="31"/>
        </w:pBdr>
        <w:kinsoku/>
        <w:wordWrap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eastAsia="仿宋"/>
          <w:sz w:val="32"/>
          <w:szCs w:val="32"/>
        </w:rPr>
      </w:pPr>
      <w:r>
        <w:rPr>
          <w:rFonts w:hint="eastAsia" w:eastAsia="仿宋"/>
          <w:sz w:val="32"/>
          <w:szCs w:val="32"/>
          <w:lang w:val="en-US" w:eastAsia="zh-CN"/>
        </w:rPr>
        <w:t>9.</w:t>
      </w:r>
      <w:r>
        <w:rPr>
          <w:rFonts w:hint="default" w:eastAsia="仿宋"/>
          <w:sz w:val="32"/>
          <w:szCs w:val="32"/>
        </w:rPr>
        <w:t>金融支出科目31.7亿元，比2023年预算数增加25.1亿元，增加376.8%，主要是</w:t>
      </w:r>
      <w:r>
        <w:rPr>
          <w:rFonts w:hint="eastAsia" w:eastAsia="仿宋"/>
          <w:sz w:val="32"/>
          <w:szCs w:val="32"/>
          <w:lang w:eastAsia="zh-CN"/>
        </w:rPr>
        <w:t>增加支持</w:t>
      </w:r>
      <w:r>
        <w:rPr>
          <w:rFonts w:hint="default" w:eastAsia="仿宋"/>
          <w:sz w:val="32"/>
          <w:szCs w:val="32"/>
        </w:rPr>
        <w:t>农信社改革</w:t>
      </w:r>
      <w:r>
        <w:rPr>
          <w:rFonts w:hint="eastAsia" w:eastAsia="仿宋"/>
          <w:sz w:val="32"/>
          <w:szCs w:val="32"/>
          <w:lang w:eastAsia="zh-CN"/>
        </w:rPr>
        <w:t>支出</w:t>
      </w:r>
      <w:r>
        <w:rPr>
          <w:rFonts w:hint="default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-1"/>
          <w:numId w:val="0"/>
        </w:numPr>
        <w:pBdr>
          <w:bottom w:val="single" w:color="FFFFFF" w:sz="4" w:space="31"/>
        </w:pBdr>
        <w:kinsoku/>
        <w:wordWrap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eastAsia="仿宋"/>
          <w:sz w:val="32"/>
          <w:szCs w:val="32"/>
        </w:rPr>
      </w:pPr>
      <w:r>
        <w:rPr>
          <w:rFonts w:hint="eastAsia" w:eastAsia="仿宋"/>
          <w:sz w:val="32"/>
          <w:szCs w:val="32"/>
          <w:lang w:val="en-US" w:eastAsia="zh-CN"/>
        </w:rPr>
        <w:t>10.</w:t>
      </w:r>
      <w:r>
        <w:rPr>
          <w:rFonts w:hint="default" w:eastAsia="仿宋"/>
          <w:sz w:val="32"/>
          <w:szCs w:val="32"/>
        </w:rPr>
        <w:t>灾害防治及应急管理支出科目4.6亿元，比2023年预算数减少0.9亿元，下降15.8%，主要是省应急物资储备中心项目</w:t>
      </w:r>
      <w:r>
        <w:rPr>
          <w:rFonts w:hint="eastAsia" w:eastAsia="仿宋"/>
          <w:sz w:val="32"/>
          <w:szCs w:val="32"/>
          <w:lang w:eastAsia="zh-CN"/>
        </w:rPr>
        <w:t>建设</w:t>
      </w:r>
      <w:r>
        <w:rPr>
          <w:rFonts w:hint="default" w:eastAsia="仿宋"/>
          <w:sz w:val="32"/>
          <w:szCs w:val="32"/>
        </w:rPr>
        <w:t>支出减少。</w:t>
      </w:r>
    </w:p>
    <w:p>
      <w:pPr>
        <w:keepNext w:val="0"/>
        <w:keepLines w:val="0"/>
        <w:pageBreakBefore w:val="0"/>
        <w:numPr>
          <w:ilvl w:val="-1"/>
          <w:numId w:val="0"/>
        </w:numPr>
        <w:pBdr>
          <w:bottom w:val="single" w:color="FFFFFF" w:sz="4" w:space="31"/>
        </w:pBdr>
        <w:kinsoku/>
        <w:wordWrap/>
        <w:topLinePunct w:val="0"/>
        <w:bidi w:val="0"/>
        <w:adjustRightInd w:val="0"/>
        <w:snapToGrid w:val="0"/>
        <w:spacing w:line="560" w:lineRule="exact"/>
        <w:ind w:firstLine="640" w:firstLineChars="200"/>
        <w:rPr>
          <w:rFonts w:hint="default" w:eastAsia="仿宋"/>
          <w:sz w:val="32"/>
          <w:szCs w:val="32"/>
        </w:rPr>
      </w:pPr>
      <w:r>
        <w:rPr>
          <w:rFonts w:hint="eastAsia" w:eastAsia="仿宋"/>
          <w:sz w:val="32"/>
          <w:szCs w:val="32"/>
          <w:lang w:val="en-US" w:eastAsia="zh-CN"/>
        </w:rPr>
        <w:t>11.</w:t>
      </w:r>
      <w:r>
        <w:rPr>
          <w:rFonts w:hint="default" w:eastAsia="仿宋"/>
          <w:sz w:val="32"/>
          <w:szCs w:val="32"/>
        </w:rPr>
        <w:t>债务付息支出科目29.7亿元，比2023年预算数增加3.8亿元，增长14.7%，主要是</w:t>
      </w:r>
      <w:r>
        <w:rPr>
          <w:rFonts w:hint="eastAsia" w:eastAsia="仿宋"/>
          <w:sz w:val="32"/>
          <w:szCs w:val="32"/>
          <w:lang w:eastAsia="zh-CN"/>
        </w:rPr>
        <w:t>结合</w:t>
      </w:r>
      <w:r>
        <w:rPr>
          <w:rFonts w:hint="default" w:eastAsia="仿宋"/>
          <w:sz w:val="32"/>
          <w:szCs w:val="32"/>
        </w:rPr>
        <w:t>政府债务余额</w:t>
      </w:r>
      <w:r>
        <w:rPr>
          <w:rFonts w:hint="eastAsia" w:eastAsia="仿宋"/>
          <w:sz w:val="32"/>
          <w:szCs w:val="32"/>
          <w:lang w:eastAsia="zh-CN"/>
        </w:rPr>
        <w:t>据实增加安排</w:t>
      </w:r>
      <w:r>
        <w:rPr>
          <w:rFonts w:hint="default" w:eastAsia="仿宋"/>
          <w:sz w:val="32"/>
          <w:szCs w:val="32"/>
        </w:rPr>
        <w:t>付息支出。</w:t>
      </w:r>
    </w:p>
    <w:p>
      <w:pPr>
        <w:numPr>
          <w:ilvl w:val="-1"/>
          <w:numId w:val="0"/>
        </w:numPr>
        <w:pBdr>
          <w:bottom w:val="single" w:color="FFFFFF" w:sz="4" w:space="31"/>
        </w:pBd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"/>
          <w:sz w:val="32"/>
          <w:szCs w:val="32"/>
          <w:lang w:val="en-US" w:eastAsia="zh-CN"/>
        </w:rPr>
        <w:t>12</w:t>
      </w:r>
      <w:bookmarkStart w:id="0" w:name="_GoBack"/>
      <w:bookmarkEnd w:id="0"/>
      <w:r>
        <w:rPr>
          <w:rFonts w:hint="eastAsia" w:eastAsia="仿宋"/>
          <w:sz w:val="32"/>
          <w:szCs w:val="32"/>
          <w:lang w:val="en-US" w:eastAsia="zh-CN"/>
        </w:rPr>
        <w:t>.</w:t>
      </w:r>
      <w:r>
        <w:rPr>
          <w:rFonts w:hint="default" w:eastAsia="仿宋"/>
          <w:sz w:val="32"/>
          <w:szCs w:val="32"/>
        </w:rPr>
        <w:t>债务发行费用支出科目0.2亿元，比2023年预算数增加0.1亿元，增长80%，主要是</w:t>
      </w:r>
      <w:r>
        <w:rPr>
          <w:rFonts w:hint="eastAsia" w:eastAsia="仿宋"/>
          <w:sz w:val="32"/>
          <w:szCs w:val="32"/>
          <w:lang w:eastAsia="zh-CN"/>
        </w:rPr>
        <w:t>结合预计</w:t>
      </w:r>
      <w:r>
        <w:rPr>
          <w:rFonts w:hint="eastAsia" w:eastAsia="仿宋"/>
          <w:sz w:val="32"/>
          <w:szCs w:val="32"/>
          <w:lang w:val="en-US" w:eastAsia="zh-CN"/>
        </w:rPr>
        <w:t>2024年</w:t>
      </w:r>
      <w:r>
        <w:rPr>
          <w:rFonts w:hint="eastAsia" w:eastAsia="仿宋"/>
          <w:sz w:val="32"/>
          <w:szCs w:val="32"/>
          <w:lang w:eastAsia="zh-CN"/>
        </w:rPr>
        <w:t>政府债券发行规模相应安排发</w:t>
      </w:r>
      <w:r>
        <w:rPr>
          <w:rFonts w:hint="default" w:eastAsia="仿宋"/>
          <w:sz w:val="32"/>
          <w:szCs w:val="32"/>
        </w:rPr>
        <w:t>行费用。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60603953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CCE41F"/>
    <w:multiLevelType w:val="singleLevel"/>
    <w:tmpl w:val="BFCCE41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01"/>
    <w:rsid w:val="00014109"/>
    <w:rsid w:val="00021D29"/>
    <w:rsid w:val="00022EC8"/>
    <w:rsid w:val="00035F62"/>
    <w:rsid w:val="00045947"/>
    <w:rsid w:val="00050CA5"/>
    <w:rsid w:val="00055434"/>
    <w:rsid w:val="00072F4F"/>
    <w:rsid w:val="00087793"/>
    <w:rsid w:val="00096E75"/>
    <w:rsid w:val="000A14FF"/>
    <w:rsid w:val="000C406A"/>
    <w:rsid w:val="000D0B7B"/>
    <w:rsid w:val="000D28BB"/>
    <w:rsid w:val="000D46E8"/>
    <w:rsid w:val="000E0395"/>
    <w:rsid w:val="000E4786"/>
    <w:rsid w:val="001115E7"/>
    <w:rsid w:val="0012710E"/>
    <w:rsid w:val="0013063C"/>
    <w:rsid w:val="0013190D"/>
    <w:rsid w:val="00142B1B"/>
    <w:rsid w:val="001508BB"/>
    <w:rsid w:val="001701E4"/>
    <w:rsid w:val="001727A6"/>
    <w:rsid w:val="001965BB"/>
    <w:rsid w:val="001B2E1D"/>
    <w:rsid w:val="001D5CC9"/>
    <w:rsid w:val="002056CA"/>
    <w:rsid w:val="00232AA2"/>
    <w:rsid w:val="00232ECD"/>
    <w:rsid w:val="00254A69"/>
    <w:rsid w:val="00255A03"/>
    <w:rsid w:val="0027408B"/>
    <w:rsid w:val="002776B3"/>
    <w:rsid w:val="002D08FF"/>
    <w:rsid w:val="002D59A8"/>
    <w:rsid w:val="002E2FDD"/>
    <w:rsid w:val="002E33FE"/>
    <w:rsid w:val="002E60DD"/>
    <w:rsid w:val="002E71C4"/>
    <w:rsid w:val="002F0960"/>
    <w:rsid w:val="002F0EEC"/>
    <w:rsid w:val="00300899"/>
    <w:rsid w:val="003221ED"/>
    <w:rsid w:val="003256EE"/>
    <w:rsid w:val="003356E2"/>
    <w:rsid w:val="00353762"/>
    <w:rsid w:val="003668DD"/>
    <w:rsid w:val="0036710D"/>
    <w:rsid w:val="003A43EC"/>
    <w:rsid w:val="003B45BA"/>
    <w:rsid w:val="003C62F8"/>
    <w:rsid w:val="003C65B0"/>
    <w:rsid w:val="003D519D"/>
    <w:rsid w:val="00406B6B"/>
    <w:rsid w:val="0041399C"/>
    <w:rsid w:val="00420B20"/>
    <w:rsid w:val="00427116"/>
    <w:rsid w:val="00431C1E"/>
    <w:rsid w:val="0043233C"/>
    <w:rsid w:val="00434972"/>
    <w:rsid w:val="004556C4"/>
    <w:rsid w:val="00474F7C"/>
    <w:rsid w:val="004844A9"/>
    <w:rsid w:val="00491417"/>
    <w:rsid w:val="0049345D"/>
    <w:rsid w:val="004B2798"/>
    <w:rsid w:val="004B50D0"/>
    <w:rsid w:val="004D03E9"/>
    <w:rsid w:val="004D59DC"/>
    <w:rsid w:val="004E566C"/>
    <w:rsid w:val="00506301"/>
    <w:rsid w:val="00507D5A"/>
    <w:rsid w:val="00515E5E"/>
    <w:rsid w:val="00525C3F"/>
    <w:rsid w:val="00535693"/>
    <w:rsid w:val="00543ABB"/>
    <w:rsid w:val="00561243"/>
    <w:rsid w:val="005702CE"/>
    <w:rsid w:val="0057514B"/>
    <w:rsid w:val="0058376C"/>
    <w:rsid w:val="005C2114"/>
    <w:rsid w:val="005C34E3"/>
    <w:rsid w:val="005E6C90"/>
    <w:rsid w:val="005F02FC"/>
    <w:rsid w:val="005F0A59"/>
    <w:rsid w:val="00600334"/>
    <w:rsid w:val="006225A9"/>
    <w:rsid w:val="0062769A"/>
    <w:rsid w:val="00633A4E"/>
    <w:rsid w:val="00635610"/>
    <w:rsid w:val="006403D0"/>
    <w:rsid w:val="00647E88"/>
    <w:rsid w:val="00647FB0"/>
    <w:rsid w:val="00660F7B"/>
    <w:rsid w:val="00673854"/>
    <w:rsid w:val="00687B28"/>
    <w:rsid w:val="006B015C"/>
    <w:rsid w:val="006C3D9A"/>
    <w:rsid w:val="006D4525"/>
    <w:rsid w:val="006D5594"/>
    <w:rsid w:val="006E0ECC"/>
    <w:rsid w:val="006E2425"/>
    <w:rsid w:val="006E4546"/>
    <w:rsid w:val="006E6381"/>
    <w:rsid w:val="006F3A40"/>
    <w:rsid w:val="00720E8C"/>
    <w:rsid w:val="00723B8E"/>
    <w:rsid w:val="007314E7"/>
    <w:rsid w:val="007340BE"/>
    <w:rsid w:val="007537C1"/>
    <w:rsid w:val="0076502F"/>
    <w:rsid w:val="00771014"/>
    <w:rsid w:val="00787554"/>
    <w:rsid w:val="00797089"/>
    <w:rsid w:val="00797F1D"/>
    <w:rsid w:val="007A1419"/>
    <w:rsid w:val="007A6972"/>
    <w:rsid w:val="007A750D"/>
    <w:rsid w:val="007C27B0"/>
    <w:rsid w:val="007C7A03"/>
    <w:rsid w:val="007F320A"/>
    <w:rsid w:val="007F5B89"/>
    <w:rsid w:val="007F6CCC"/>
    <w:rsid w:val="008027F4"/>
    <w:rsid w:val="00820AC7"/>
    <w:rsid w:val="00820D56"/>
    <w:rsid w:val="008231DD"/>
    <w:rsid w:val="00831BD1"/>
    <w:rsid w:val="00875465"/>
    <w:rsid w:val="0088051C"/>
    <w:rsid w:val="00882BF9"/>
    <w:rsid w:val="008868DE"/>
    <w:rsid w:val="00887468"/>
    <w:rsid w:val="0089506F"/>
    <w:rsid w:val="008A6F0F"/>
    <w:rsid w:val="008A6FCD"/>
    <w:rsid w:val="008D05E4"/>
    <w:rsid w:val="008E65B8"/>
    <w:rsid w:val="008E738E"/>
    <w:rsid w:val="009033AB"/>
    <w:rsid w:val="009104FE"/>
    <w:rsid w:val="009135CA"/>
    <w:rsid w:val="00917A7C"/>
    <w:rsid w:val="00917DC5"/>
    <w:rsid w:val="00946045"/>
    <w:rsid w:val="009543A3"/>
    <w:rsid w:val="00960E9C"/>
    <w:rsid w:val="009671F3"/>
    <w:rsid w:val="00992D3E"/>
    <w:rsid w:val="009968AA"/>
    <w:rsid w:val="009B76E6"/>
    <w:rsid w:val="009B7833"/>
    <w:rsid w:val="009C02B9"/>
    <w:rsid w:val="009D7837"/>
    <w:rsid w:val="009F53C9"/>
    <w:rsid w:val="00A30C95"/>
    <w:rsid w:val="00A36CDB"/>
    <w:rsid w:val="00A37A4C"/>
    <w:rsid w:val="00A40475"/>
    <w:rsid w:val="00A46229"/>
    <w:rsid w:val="00A46988"/>
    <w:rsid w:val="00A57259"/>
    <w:rsid w:val="00A657CD"/>
    <w:rsid w:val="00A703A2"/>
    <w:rsid w:val="00A7369E"/>
    <w:rsid w:val="00A74CEE"/>
    <w:rsid w:val="00A9421C"/>
    <w:rsid w:val="00AD20A0"/>
    <w:rsid w:val="00AF5978"/>
    <w:rsid w:val="00B205B2"/>
    <w:rsid w:val="00B31095"/>
    <w:rsid w:val="00B50303"/>
    <w:rsid w:val="00B53EC7"/>
    <w:rsid w:val="00B803D6"/>
    <w:rsid w:val="00B80AB5"/>
    <w:rsid w:val="00B93FB6"/>
    <w:rsid w:val="00BA21BA"/>
    <w:rsid w:val="00BA6D8A"/>
    <w:rsid w:val="00BD07DA"/>
    <w:rsid w:val="00BE0D61"/>
    <w:rsid w:val="00BE2B9B"/>
    <w:rsid w:val="00BF0A43"/>
    <w:rsid w:val="00BF7867"/>
    <w:rsid w:val="00C0160C"/>
    <w:rsid w:val="00C03053"/>
    <w:rsid w:val="00C14A74"/>
    <w:rsid w:val="00C4450F"/>
    <w:rsid w:val="00C45695"/>
    <w:rsid w:val="00C47828"/>
    <w:rsid w:val="00C857A5"/>
    <w:rsid w:val="00C955D4"/>
    <w:rsid w:val="00CB3D47"/>
    <w:rsid w:val="00CB63F2"/>
    <w:rsid w:val="00CC4334"/>
    <w:rsid w:val="00CC6456"/>
    <w:rsid w:val="00CC6549"/>
    <w:rsid w:val="00CD383F"/>
    <w:rsid w:val="00CD7763"/>
    <w:rsid w:val="00CD7CD9"/>
    <w:rsid w:val="00CE180E"/>
    <w:rsid w:val="00CE205B"/>
    <w:rsid w:val="00CE2418"/>
    <w:rsid w:val="00CF483F"/>
    <w:rsid w:val="00D02093"/>
    <w:rsid w:val="00D05ADC"/>
    <w:rsid w:val="00D06F9D"/>
    <w:rsid w:val="00D16A6F"/>
    <w:rsid w:val="00D23325"/>
    <w:rsid w:val="00D25846"/>
    <w:rsid w:val="00D36406"/>
    <w:rsid w:val="00D51CDB"/>
    <w:rsid w:val="00D53FD8"/>
    <w:rsid w:val="00D5423C"/>
    <w:rsid w:val="00D61229"/>
    <w:rsid w:val="00D66D9F"/>
    <w:rsid w:val="00D72906"/>
    <w:rsid w:val="00D74624"/>
    <w:rsid w:val="00D91F50"/>
    <w:rsid w:val="00D9458E"/>
    <w:rsid w:val="00DC13CD"/>
    <w:rsid w:val="00DC49F5"/>
    <w:rsid w:val="00DD10AB"/>
    <w:rsid w:val="00E16E1E"/>
    <w:rsid w:val="00E2493B"/>
    <w:rsid w:val="00E40AC7"/>
    <w:rsid w:val="00E411DD"/>
    <w:rsid w:val="00E50C65"/>
    <w:rsid w:val="00E5719E"/>
    <w:rsid w:val="00E62BA0"/>
    <w:rsid w:val="00E639B0"/>
    <w:rsid w:val="00E65F4A"/>
    <w:rsid w:val="00E757AA"/>
    <w:rsid w:val="00E9645E"/>
    <w:rsid w:val="00EA2BDD"/>
    <w:rsid w:val="00EA7622"/>
    <w:rsid w:val="00EB2CEB"/>
    <w:rsid w:val="00EB50CE"/>
    <w:rsid w:val="00EB661B"/>
    <w:rsid w:val="00EB7C6F"/>
    <w:rsid w:val="00EC18FC"/>
    <w:rsid w:val="00EC4B40"/>
    <w:rsid w:val="00EC54DF"/>
    <w:rsid w:val="00ED4B9A"/>
    <w:rsid w:val="00EE4086"/>
    <w:rsid w:val="00EE426A"/>
    <w:rsid w:val="00EF2556"/>
    <w:rsid w:val="00F021DE"/>
    <w:rsid w:val="00F06EDC"/>
    <w:rsid w:val="00F17A54"/>
    <w:rsid w:val="00F321D7"/>
    <w:rsid w:val="00F37D89"/>
    <w:rsid w:val="00F40006"/>
    <w:rsid w:val="00F40DC2"/>
    <w:rsid w:val="00F54D80"/>
    <w:rsid w:val="00F6147A"/>
    <w:rsid w:val="00F66FA4"/>
    <w:rsid w:val="00F706DE"/>
    <w:rsid w:val="00F75315"/>
    <w:rsid w:val="00F9362C"/>
    <w:rsid w:val="00F950CE"/>
    <w:rsid w:val="00FA0271"/>
    <w:rsid w:val="00FB73FA"/>
    <w:rsid w:val="00FC1F74"/>
    <w:rsid w:val="00FF5E18"/>
    <w:rsid w:val="00FF7CC3"/>
    <w:rsid w:val="14E502AF"/>
    <w:rsid w:val="16FBAC5B"/>
    <w:rsid w:val="1734F2A1"/>
    <w:rsid w:val="1B7FF402"/>
    <w:rsid w:val="22414B97"/>
    <w:rsid w:val="29DE9C2F"/>
    <w:rsid w:val="2EFF8B00"/>
    <w:rsid w:val="30AF5AAA"/>
    <w:rsid w:val="392F6B23"/>
    <w:rsid w:val="3BCB80A1"/>
    <w:rsid w:val="3DAB25DC"/>
    <w:rsid w:val="3FEE3C3A"/>
    <w:rsid w:val="564C2CD0"/>
    <w:rsid w:val="57ECE423"/>
    <w:rsid w:val="5D055B9D"/>
    <w:rsid w:val="5D1E05CE"/>
    <w:rsid w:val="5FBFDB6C"/>
    <w:rsid w:val="6C4F1CD0"/>
    <w:rsid w:val="6EBD6BDF"/>
    <w:rsid w:val="77BC7743"/>
    <w:rsid w:val="79254974"/>
    <w:rsid w:val="7DE71764"/>
    <w:rsid w:val="7DF42A02"/>
    <w:rsid w:val="7EFFF73D"/>
    <w:rsid w:val="7F4F18D6"/>
    <w:rsid w:val="7FD56C2A"/>
    <w:rsid w:val="7FFD1319"/>
    <w:rsid w:val="7FFD4996"/>
    <w:rsid w:val="B7F6E4F2"/>
    <w:rsid w:val="DB3D2572"/>
    <w:rsid w:val="DF7B956F"/>
    <w:rsid w:val="DF7EC8C4"/>
    <w:rsid w:val="DFFE78CE"/>
    <w:rsid w:val="EBDEB183"/>
    <w:rsid w:val="EFFF3BEF"/>
    <w:rsid w:val="F7FFBB81"/>
    <w:rsid w:val="FD6F2A09"/>
    <w:rsid w:val="FDB7892B"/>
    <w:rsid w:val="FDBFDACD"/>
    <w:rsid w:val="FEC744F3"/>
    <w:rsid w:val="FEDB4BA3"/>
    <w:rsid w:val="FEDFC6AB"/>
    <w:rsid w:val="FF5BD8CA"/>
    <w:rsid w:val="FF7F8BA9"/>
    <w:rsid w:val="FFDFC5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报告正文"/>
    <w:basedOn w:val="1"/>
    <w:qFormat/>
    <w:uiPriority w:val="0"/>
    <w:pPr>
      <w:ind w:firstLine="200"/>
    </w:pPr>
  </w:style>
  <w:style w:type="paragraph" w:styleId="3">
    <w:name w:val="Body Text"/>
    <w:basedOn w:val="1"/>
    <w:unhideWhenUsed/>
    <w:qFormat/>
    <w:uiPriority w:val="99"/>
    <w:pPr>
      <w:spacing w:line="600" w:lineRule="exact"/>
      <w:jc w:val="center"/>
    </w:pPr>
    <w:rPr>
      <w:rFonts w:ascii="宋体" w:hAnsi="Times New Roman" w:eastAsia="宋体" w:cs="Times New Roman"/>
      <w:b/>
      <w:bCs/>
      <w:sz w:val="44"/>
      <w:szCs w:val="20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  <w:szCs w:val="24"/>
    </w:rPr>
  </w:style>
  <w:style w:type="character" w:customStyle="1" w:styleId="10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205</Words>
  <Characters>1169</Characters>
  <Lines>9</Lines>
  <Paragraphs>2</Paragraphs>
  <TotalTime>7</TotalTime>
  <ScaleCrop>false</ScaleCrop>
  <LinksUpToDate>false</LinksUpToDate>
  <CharactersWithSpaces>1372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2021-02-13T20:08:00Z</dcterms:created>
  <dc:creator>张振旺</dc:creator>
  <cp:lastModifiedBy>袁征</cp:lastModifiedBy>
  <cp:lastPrinted>2018-02-04T11:46:00Z</cp:lastPrinted>
  <dcterms:modified xsi:type="dcterms:W3CDTF">2024-02-04T11:28:09Z</dcterms:modified>
  <dc:title>关于2024年海南省省级一般公共预算支出预算的说明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