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517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left="880" w:hanging="880" w:hangingChars="200"/>
        <w:jc w:val="center"/>
        <w:textAlignment w:val="auto"/>
        <w:outlineLvl w:val="0"/>
        <w:rPr>
          <w:rFonts w:ascii="Times New Roman" w:eastAsia="方正小标宋简体" w:cs="Times New Roman"/>
          <w:bCs/>
          <w:sz w:val="44"/>
          <w:szCs w:val="44"/>
        </w:rPr>
      </w:pPr>
    </w:p>
    <w:p w14:paraId="7C3DF667">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left="880" w:hanging="880" w:hangingChars="200"/>
        <w:jc w:val="center"/>
        <w:textAlignment w:val="auto"/>
        <w:outlineLvl w:val="0"/>
        <w:rPr>
          <w:rFonts w:ascii="Times New Roman" w:eastAsia="方正小标宋简体" w:cs="Times New Roman"/>
          <w:bCs/>
          <w:sz w:val="44"/>
          <w:szCs w:val="44"/>
        </w:rPr>
      </w:pPr>
      <w:r>
        <w:rPr>
          <w:rFonts w:ascii="Times New Roman" w:eastAsia="方正小标宋简体" w:cs="Times New Roman"/>
          <w:bCs/>
          <w:sz w:val="44"/>
          <w:szCs w:val="44"/>
        </w:rPr>
        <w:t>关于海南省2025年预算执行情况和</w:t>
      </w:r>
    </w:p>
    <w:p w14:paraId="28208FE4">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left="880" w:hanging="880" w:hangingChars="200"/>
        <w:jc w:val="center"/>
        <w:textAlignment w:val="auto"/>
        <w:outlineLvl w:val="0"/>
        <w:rPr>
          <w:rFonts w:ascii="Times New Roman" w:eastAsia="方正小标宋简体" w:cs="Times New Roman"/>
          <w:bCs/>
          <w:sz w:val="44"/>
          <w:szCs w:val="44"/>
        </w:rPr>
      </w:pPr>
      <w:r>
        <w:rPr>
          <w:rFonts w:ascii="Times New Roman" w:eastAsia="方正小标宋简体" w:cs="Times New Roman"/>
          <w:bCs/>
          <w:sz w:val="44"/>
          <w:szCs w:val="44"/>
        </w:rPr>
        <w:t>2026年预算草案的报告</w:t>
      </w:r>
    </w:p>
    <w:p w14:paraId="6DF20A35">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left="0" w:hanging="640" w:hangingChars="200"/>
        <w:jc w:val="both"/>
        <w:textAlignment w:val="auto"/>
        <w:outlineLvl w:val="0"/>
        <w:rPr>
          <w:rFonts w:ascii="Times New Roman" w:eastAsia="楷体" w:cs="Times New Roman"/>
          <w:bCs/>
          <w:sz w:val="32"/>
          <w:szCs w:val="32"/>
        </w:rPr>
      </w:pPr>
    </w:p>
    <w:p w14:paraId="77F3B00D">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jc w:val="center"/>
        <w:textAlignment w:val="auto"/>
        <w:rPr>
          <w:rFonts w:ascii="Times New Roman" w:eastAsia="黑体" w:cs="Times New Roman"/>
          <w:bCs/>
          <w:sz w:val="32"/>
          <w:szCs w:val="32"/>
        </w:rPr>
      </w:pPr>
      <w:r>
        <w:rPr>
          <w:rFonts w:ascii="Times New Roman" w:eastAsia="黑体" w:cs="Times New Roman"/>
          <w:bCs/>
          <w:color w:val="000000"/>
          <w:kern w:val="2"/>
          <w:sz w:val="32"/>
          <w:szCs w:val="32"/>
        </w:rPr>
        <w:t>一、2025年预算执行情况</w:t>
      </w:r>
    </w:p>
    <w:p w14:paraId="6FBF0634">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p>
    <w:p w14:paraId="583A0884">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2025年是海南自贸港封关运作、扩大开放之年。面对日益严峻的外部环境和艰巨繁重的改革发展任务，全省上下坚持以习近平新时代中国特色社会主义思想为指导，完整准确全面贯彻新发展理念，牢牢把握高质量发展首要任务，着力推进稳增长、优结构、促改革、惠民生、防风险各项工作，自贸港建设迈入全岛封关运作的新阶段。全省各级财政部门坚决贯彻党中央、国务院和省委、省政府决策部署，担当尽责、敢为善为，有力有效实施积极的财政政策，稳步推进自贸港财税体制改革，全力保障基层财政平稳运行，较好完成省七届人大四次会议确定的目标任务，为海南高质量发展和自贸港如期封关提供坚实财政保障。</w:t>
      </w:r>
    </w:p>
    <w:p w14:paraId="68692F65">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（一）2025年一般公共预算收支情况。</w:t>
      </w:r>
    </w:p>
    <w:p w14:paraId="08802B76">
      <w:pPr>
        <w:pStyle w:val="2"/>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2025年，我省经济顶压前行、向新向好发展，展现出较强韧性和活力，但需求偏弱、社会投资活力不足等问题仍然存在，加上要素成本偏高、企业根植性不强，仍处于产业转型升级期和新旧动能转换期，新的税收增长点尚未成型，财政收入增长放缓。面对困难，全省财税部门在省委、省政府的坚强领导下，科学研判形势，加强跟踪调度，确保依法征收、应收尽收，全力争取预算收支最好结果。</w:t>
      </w:r>
    </w:p>
    <w:p w14:paraId="6AA0BC03">
      <w:pPr>
        <w:pStyle w:val="2"/>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全省地方一般公共预算收入903.7亿元，为年度预算的98.5%，增长1.5%（与2024年决算数相比，下同），加上债务收入、中央补助收入、动用预算稳定调节基金等2177.5亿元，收入总计3081.2亿元。全省地方一般公共预算支出2344.5亿元，为年度预算的98.2%，增长2.2%，加上债务还本支出、安排预算稳定调节基金等523.8亿元，支出总计2868.3亿元。收支相抵，年终结余结转212.9亿元。</w:t>
      </w:r>
    </w:p>
    <w:p w14:paraId="773CBC00">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地方一般公共预算收入220.9亿元，为年度预算的101.7%，增长4.7%，加上债务收入、中央补助收入、动用预算稳定调节基金等2041.5亿元，收入总计2262.4亿元。省本级地方一般公共预算支出720.2亿元，为年度预算的95.9%，增长7.9%，加上债务还本支出、补助市县支出、安排预算稳定调节基金等1508.9亿元，支出总计2229.1亿元。收支相抵，年终结余结转33.3亿元。</w:t>
      </w:r>
    </w:p>
    <w:p w14:paraId="01343B20">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（二）2025年政府性基金预算收支情况。</w:t>
      </w:r>
    </w:p>
    <w:p w14:paraId="405AB063">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省地方政府性基金预算收入349亿元，为年度预算的85.2%，下降14.4%，加上债务收入、政府性基金转移支付收入等1124亿元，收入总计1473亿元。全省地方政府性基金预算支出997.8亿元，为年度预算的94.9%，下降3.7%，加上债务还本支出等338.3亿元，支出总计1336.1亿元。收支相抵，年终结余结转136.9亿元。</w:t>
      </w:r>
    </w:p>
    <w:p w14:paraId="0A26BDA2">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地方政府性基金预算收入67.3亿元，为年度预算的84.8%，下降18%，加上债务收入、政府性基金转移支付收入等982.1亿元，收入总计1049.4亿元。省本级地方政府性基金预算支出263.4亿元，为年度预算的104.8%，增长30.8%，加上债务还本支出等751.7亿元，支出总计1015.1亿元。收支相抵，年终结余结转34.3亿元。</w:t>
      </w:r>
    </w:p>
    <w:p w14:paraId="57EAECCA">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（三）2025年国有资本经营预算收支情况。</w:t>
      </w:r>
    </w:p>
    <w:p w14:paraId="58284650">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省国有资本经营预算收入5.7亿元，为年度预算的104%，下降26.9%，加上转移支付收入、上年结余收入等0.1亿元，收入总计5.8亿元。全省国有资本经营预算支出3.5亿元，为年度预算的88.7%，下降34.6%，加上调入一般公共预算2.2亿元，支出总计5.7亿元。收支相抵，年终结余结转0.1亿元。</w:t>
      </w:r>
    </w:p>
    <w:p w14:paraId="09739D23">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国有资本经营预算收入2.7亿元，为年度预算的100.1%，下降45.1%，加上转移支付收入、上年结余收入等0.1亿元，收入总计2.8亿元。省本级国有资本经营预算支出1.9亿元，为年度预算的100%，下降46.2%，加上转移支付支出、调入一般公共预算等0.9亿元，支出总计2.8亿元。</w:t>
      </w:r>
    </w:p>
    <w:p w14:paraId="02D8D67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shd w:val="clear" w:color="auto" w:fill="FFFF00"/>
        </w:rPr>
      </w:pPr>
      <w:r>
        <w:rPr>
          <w:rFonts w:ascii="Times New Roman" w:eastAsia="楷体_GB2312" w:cs="Times New Roman"/>
          <w:bCs/>
          <w:sz w:val="32"/>
          <w:szCs w:val="32"/>
        </w:rPr>
        <w:t>（四）2025年社会保险基金预算收支情况。</w:t>
      </w:r>
    </w:p>
    <w:p w14:paraId="3817BB17">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全省社会保险基金预算收入808.5亿元，为预算的100.5%，增长0.6%。全省社会保险基金预算支出672.7亿元，为预算的96.4%，增长5.4%。基金滚存结余1372.8亿元。</w:t>
      </w:r>
    </w:p>
    <w:p w14:paraId="01AE13C5">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省本级社会保险基金预算收入695.8亿元，为预算的102%，增长5.4%。省本级社会保险基金预算支出545.2亿元，为预算的95.5%，增长6%。基金滚存结余1185.8亿元。</w:t>
      </w:r>
    </w:p>
    <w:p w14:paraId="6C3BCBC5">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（五）2025年省对市县转移支付补助情况。</w:t>
      </w:r>
    </w:p>
    <w:p w14:paraId="64D3630D">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2025年，省对市县一般公共预算转移支付补助1072.6亿元，增长3.2%，为提高市县基本公共服务保障能力、兜牢兜实基层</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底线、推动重点项目落地实施、支持园区高质量发展、促进区域协调发展提供有力支撑。</w:t>
      </w:r>
    </w:p>
    <w:p w14:paraId="0FE4BF8C">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rPr>
      </w:pPr>
      <w:r>
        <w:rPr>
          <w:rFonts w:ascii="Times New Roman" w:eastAsia="楷体_GB2312" w:cs="Times New Roman"/>
          <w:bCs/>
          <w:sz w:val="32"/>
          <w:szCs w:val="32"/>
        </w:rPr>
        <w:t>（六）2025年全省地方政府债务情况。</w:t>
      </w:r>
    </w:p>
    <w:p w14:paraId="1CABE79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2025年财政部下达我省新增地方政府债务额度682亿元（一般债务144亿元、专项债务538亿元），主要用于产业园区基础设施、交通、水利、教科文卫、土地储备等领域项目建设，以及偿还政府拖欠企业账款等。此外，按照财政部关于置换债务额度使用的要求，安排152亿元额度置换存量隐性债务，有效减轻地方化债压力。2025年到期地方政府债券本息590.6亿元，均已按时足额偿还，政府信用良好。2025年末，我省地方政府债务余额5783.1亿元（一般债务余额2048.6亿元、专项债务余额3734.5亿元），控制在我省地方政府债务限额6059.7亿元以内，整体债务水平安全可控。</w:t>
      </w:r>
    </w:p>
    <w:p w14:paraId="12475104">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（七）2025年主要财税政策落实和重点财政工作情况。</w:t>
      </w:r>
    </w:p>
    <w:p w14:paraId="1F67B5E0">
      <w:pPr>
        <w:pStyle w:val="16"/>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加强财力支持和政策供给，保障自贸港如期封关运作</w:t>
      </w:r>
    </w:p>
    <w:p w14:paraId="29F01A29">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推动自贸港税收制度体系初步成型。成功推动原辅料</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政策再次优化升级、</w:t>
      </w:r>
      <w:r>
        <w:rPr>
          <w:rFonts w:hint="eastAsia" w:ascii="Times New Roman" w:eastAsia="仿宋_GB2312" w:cs="Times New Roman"/>
          <w:bCs/>
          <w:sz w:val="32"/>
          <w:szCs w:val="32"/>
        </w:rPr>
        <w:t>“</w:t>
      </w:r>
      <w:r>
        <w:rPr>
          <w:rFonts w:ascii="Times New Roman" w:eastAsia="仿宋_GB2312" w:cs="Times New Roman"/>
          <w:bCs/>
          <w:sz w:val="32"/>
          <w:szCs w:val="32"/>
        </w:rPr>
        <w:t>双15%</w:t>
      </w:r>
      <w:r>
        <w:rPr>
          <w:rFonts w:hint="eastAsia" w:ascii="Times New Roman" w:eastAsia="仿宋_GB2312" w:cs="Times New Roman"/>
          <w:bCs/>
          <w:sz w:val="32"/>
          <w:szCs w:val="32"/>
        </w:rPr>
        <w:t>”</w:t>
      </w:r>
      <w:r>
        <w:rPr>
          <w:rFonts w:ascii="Times New Roman" w:eastAsia="仿宋_GB2312" w:cs="Times New Roman"/>
          <w:bCs/>
          <w:sz w:val="32"/>
          <w:szCs w:val="32"/>
        </w:rPr>
        <w:t>所得税等到期政策延续、离岛免税购物政策新一轮优化调整落地、离岸贸易印花税免税政策出台，持续提升自贸港政策吸引力。推动出台货物流通税收政策、进口征税商品目录、加工增值免关税等封关税收政策，封关后</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水平大幅提升至74%。制定</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进口货物享惠主体认定管理办法等配套措施，优化高端紧缺人才个人所得税优惠政策享惠条件。深入研究岛内居民消费进境商品相关税收政策，细化论证销售税等简税制改革方案。</w:t>
      </w:r>
    </w:p>
    <w:p w14:paraId="09F5FAD3">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夯实自贸港建设资金保障。加力对接中央政策，优化协同工作机制，积极争取中央财政支持，全年中央下达我省一般公共预算转移支付1324.7亿元，同口径比上年增加87.9亿元。全年发行新增地方政府债券680.9亿元</w:t>
      </w:r>
      <w:r>
        <w:rPr>
          <w:rStyle w:val="22"/>
          <w:rFonts w:ascii="Times New Roman" w:eastAsia="仿宋" w:cs="Times New Roman"/>
          <w:bCs/>
          <w:sz w:val="32"/>
          <w:szCs w:val="32"/>
        </w:rPr>
        <w:footnoteReference w:id="0"/>
      </w:r>
      <w:r>
        <w:rPr>
          <w:rFonts w:ascii="Times New Roman" w:eastAsia="仿宋_GB2312" w:cs="Times New Roman"/>
          <w:bCs/>
          <w:sz w:val="32"/>
          <w:szCs w:val="32"/>
        </w:rPr>
        <w:t>，其中成功在香港发行50亿元离岸人民币地方政府债券，包括地方政府首单航天主题债券。提升项目谋划质量，成功争取超长期特别国债资金90.7亿元。我省首次入选国家公路水路交通基础设施数字化转型升级第二批示范区域，海口市入选2025年中央支持实施城市更新行动试点城市，最高可获16亿元中央资金支持。</w:t>
      </w:r>
    </w:p>
    <w:p w14:paraId="10DB5137">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精准宣介强化政策预期。</w:t>
      </w:r>
      <w:r>
        <w:rPr>
          <w:rFonts w:ascii="Times New Roman" w:eastAsia="仿宋_GB2312" w:cs="Times New Roman"/>
          <w:sz w:val="32"/>
          <w:szCs w:val="32"/>
        </w:rPr>
        <w:t>深入贯彻落实省委</w:t>
      </w:r>
      <w:r>
        <w:rPr>
          <w:rFonts w:hint="eastAsia" w:ascii="Times New Roman" w:eastAsia="仿宋_GB2312" w:cs="Times New Roman"/>
          <w:sz w:val="32"/>
          <w:szCs w:val="32"/>
        </w:rPr>
        <w:t>“</w:t>
      </w:r>
      <w:r>
        <w:rPr>
          <w:rFonts w:ascii="Times New Roman" w:eastAsia="仿宋_GB2312" w:cs="Times New Roman"/>
          <w:sz w:val="32"/>
          <w:szCs w:val="32"/>
        </w:rPr>
        <w:t>大学习、大宣传、大落实、大招商、大服务</w:t>
      </w:r>
      <w:r>
        <w:rPr>
          <w:rFonts w:hint="eastAsia" w:ascii="Times New Roman" w:eastAsia="仿宋_GB2312" w:cs="Times New Roman"/>
          <w:sz w:val="32"/>
          <w:szCs w:val="32"/>
        </w:rPr>
        <w:t>”</w:t>
      </w:r>
      <w:r>
        <w:rPr>
          <w:rFonts w:ascii="Times New Roman" w:eastAsia="仿宋_GB2312" w:cs="Times New Roman"/>
          <w:sz w:val="32"/>
          <w:szCs w:val="32"/>
        </w:rPr>
        <w:t>部署，</w:t>
      </w:r>
      <w:r>
        <w:rPr>
          <w:rFonts w:ascii="Times New Roman" w:eastAsia="仿宋_GB2312" w:cs="Times New Roman"/>
          <w:bCs/>
          <w:sz w:val="32"/>
          <w:szCs w:val="32"/>
        </w:rPr>
        <w:t>主动谋划北京、上海、深圳3场封关税收政策宣介活动，精准邀请超430家企业参加，有效回应和解答市场主体对自贸港政策的关切诉求，取得较好成效。全年深入市县和市场主体开展政策宣传培训累计超过50次，引导省内企业用足用好各项税收政策。</w:t>
      </w:r>
    </w:p>
    <w:p w14:paraId="687036CD">
      <w:pPr>
        <w:pStyle w:val="16"/>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实施更加积极的财政政策，推动全方位扩大国内需求</w:t>
      </w:r>
    </w:p>
    <w:p w14:paraId="4C876CB3">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支持聚力扩大有效投资。安排新增专项债券432.2亿元支持688个项目建设，其中安排117.2亿元专项债券用作项目资本金，占比27.1%，比上年提高16.7个百分点。拨付超长期特别国债资金63.7亿元，支持32个</w:t>
      </w:r>
      <w:r>
        <w:rPr>
          <w:rFonts w:hint="eastAsia" w:ascii="Times New Roman" w:eastAsia="仿宋_GB2312" w:cs="Times New Roman"/>
          <w:bCs/>
          <w:sz w:val="32"/>
          <w:szCs w:val="32"/>
        </w:rPr>
        <w:t>“</w:t>
      </w:r>
      <w:r>
        <w:rPr>
          <w:rFonts w:ascii="Times New Roman" w:eastAsia="仿宋_GB2312" w:cs="Times New Roman"/>
          <w:bCs/>
          <w:sz w:val="32"/>
          <w:szCs w:val="32"/>
        </w:rPr>
        <w:t>两重</w:t>
      </w:r>
      <w:r>
        <w:rPr>
          <w:rFonts w:hint="eastAsia" w:ascii="Times New Roman" w:eastAsia="仿宋_GB2312" w:cs="Times New Roman"/>
          <w:bCs/>
          <w:sz w:val="32"/>
          <w:szCs w:val="32"/>
        </w:rPr>
        <w:t>”</w:t>
      </w:r>
      <w:r>
        <w:rPr>
          <w:rFonts w:ascii="Times New Roman" w:eastAsia="仿宋_GB2312" w:cs="Times New Roman"/>
          <w:bCs/>
          <w:sz w:val="32"/>
          <w:szCs w:val="32"/>
        </w:rPr>
        <w:t>领域项目建设和72个</w:t>
      </w:r>
      <w:r>
        <w:rPr>
          <w:rFonts w:hint="eastAsia" w:ascii="Times New Roman" w:eastAsia="仿宋_GB2312" w:cs="Times New Roman"/>
          <w:bCs/>
          <w:sz w:val="32"/>
          <w:szCs w:val="32"/>
        </w:rPr>
        <w:t>“</w:t>
      </w:r>
      <w:r>
        <w:rPr>
          <w:rFonts w:ascii="Times New Roman" w:eastAsia="仿宋_GB2312" w:cs="Times New Roman"/>
          <w:bCs/>
          <w:sz w:val="32"/>
          <w:szCs w:val="32"/>
        </w:rPr>
        <w:t>两新</w:t>
      </w:r>
      <w:r>
        <w:rPr>
          <w:rFonts w:hint="eastAsia" w:ascii="Times New Roman" w:eastAsia="仿宋_GB2312" w:cs="Times New Roman"/>
          <w:bCs/>
          <w:sz w:val="32"/>
          <w:szCs w:val="32"/>
        </w:rPr>
        <w:t>”</w:t>
      </w:r>
      <w:r>
        <w:rPr>
          <w:rFonts w:ascii="Times New Roman" w:eastAsia="仿宋_GB2312" w:cs="Times New Roman"/>
          <w:bCs/>
          <w:sz w:val="32"/>
          <w:szCs w:val="32"/>
        </w:rPr>
        <w:t>领域设备更新改造项目。对交通运输等重点领域超过13亿元设备更新贷款项目提供贴息支持。</w:t>
      </w:r>
    </w:p>
    <w:p w14:paraId="33609E12">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多措并举提振消费。拨付56.2亿元，加力扩围实施消费品以旧换新政策，央地分担比例接近1:1，明显超过国家统一要求，直接拉动汽车、家电等五大类消费超440亿元。优化促进文体旅商展联动扩大消费措施，拨付4.2亿元，支持举办演唱会、音乐节、体育赛事和发放消费券等，进一步激发消费活力。支持中国国际旅游交易会、海南岛国际电影节、东坡文化旅游大会等顺利举办，带动旅游消费持续升温。支持市县举办旅游发展大会，以特色区位优势积极参与国际旅游消费中心建设。</w:t>
      </w:r>
    </w:p>
    <w:p w14:paraId="5D545F61">
      <w:pPr>
        <w:pStyle w:val="16"/>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支持培育经济发展新动能，促进高质量发展</w:t>
      </w:r>
    </w:p>
    <w:p w14:paraId="13BD7DEA">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支持重点产业发展。足额保障促进经济高质量发展资金33亿元，持续推动四大主导产业及新动能产业发展。拨付9.4亿元，支持国际旅游消费中心建设和境内外客运发展。拨付6亿元补贴资金，有效降低重点产业用电成本，惠及企业2519家次。拨付奖励资金3.2亿元，助力航空物流产业降本增效。首次运用《海南自由贸易港法》授权，免征归属海南省地方收入的文化事业建设费。</w:t>
      </w:r>
    </w:p>
    <w:p w14:paraId="6916F3D9">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推动提升科技创新能力。拨付6亿元支持国家实验室（基地）、深远海科考船、省科技馆等重点项目建设。拨付</w:t>
      </w:r>
      <w:r>
        <w:rPr>
          <w:rFonts w:hint="eastAsia" w:ascii="Times New Roman" w:eastAsia="仿宋_GB2312" w:cs="Times New Roman"/>
          <w:bCs/>
          <w:sz w:val="32"/>
          <w:szCs w:val="32"/>
        </w:rPr>
        <w:t>“</w:t>
      </w:r>
      <w:r>
        <w:rPr>
          <w:rFonts w:ascii="Times New Roman" w:eastAsia="仿宋_GB2312" w:cs="Times New Roman"/>
          <w:bCs/>
          <w:sz w:val="32"/>
          <w:szCs w:val="32"/>
        </w:rPr>
        <w:t>陆海空</w:t>
      </w:r>
      <w:r>
        <w:rPr>
          <w:rFonts w:hint="eastAsia" w:ascii="Times New Roman" w:eastAsia="仿宋_GB2312" w:cs="Times New Roman"/>
          <w:bCs/>
          <w:sz w:val="32"/>
          <w:szCs w:val="32"/>
        </w:rPr>
        <w:t>”</w:t>
      </w:r>
      <w:r>
        <w:rPr>
          <w:rFonts w:ascii="Times New Roman" w:eastAsia="仿宋_GB2312" w:cs="Times New Roman"/>
          <w:bCs/>
          <w:sz w:val="32"/>
          <w:szCs w:val="32"/>
        </w:rPr>
        <w:t>科技专项资金3.5亿元，支持省种业实验室、省深海技术创新中心、省航天技术创新中心等高能级科研机构和科创平台建设。拨付重点研发专项资金6.1亿元，推动新能源新材料、海洋资源、热带农业等重点方向技术攻关。拨付2.3亿元，支持齐鲁制药、海马汽车等222家企业加大研发投入，推动建设</w:t>
      </w:r>
      <w:r>
        <w:rPr>
          <w:rFonts w:hint="eastAsia" w:ascii="Times New Roman" w:eastAsia="仿宋_GB2312" w:cs="Times New Roman"/>
          <w:bCs/>
          <w:sz w:val="32"/>
          <w:szCs w:val="32"/>
        </w:rPr>
        <w:t>“</w:t>
      </w:r>
      <w:r>
        <w:rPr>
          <w:rFonts w:ascii="Times New Roman" w:eastAsia="仿宋_GB2312" w:cs="Times New Roman"/>
          <w:bCs/>
          <w:sz w:val="32"/>
          <w:szCs w:val="32"/>
        </w:rPr>
        <w:t>技术创新之岛</w:t>
      </w:r>
      <w:r>
        <w:rPr>
          <w:rFonts w:hint="eastAsia" w:ascii="Times New Roman" w:eastAsia="仿宋_GB2312" w:cs="Times New Roman"/>
          <w:bCs/>
          <w:sz w:val="32"/>
          <w:szCs w:val="32"/>
        </w:rPr>
        <w:t>”</w:t>
      </w:r>
      <w:r>
        <w:rPr>
          <w:rFonts w:ascii="Times New Roman" w:eastAsia="仿宋_GB2312" w:cs="Times New Roman"/>
          <w:bCs/>
          <w:sz w:val="32"/>
          <w:szCs w:val="32"/>
        </w:rPr>
        <w:t>。拨付4.5亿元，保障</w:t>
      </w:r>
      <w:r>
        <w:rPr>
          <w:rFonts w:hint="eastAsia" w:ascii="Times New Roman" w:eastAsia="仿宋_GB2312" w:cs="Times New Roman"/>
          <w:bCs/>
          <w:sz w:val="32"/>
          <w:szCs w:val="32"/>
        </w:rPr>
        <w:t>“</w:t>
      </w:r>
      <w:r>
        <w:rPr>
          <w:rFonts w:ascii="Times New Roman" w:eastAsia="仿宋_GB2312" w:cs="Times New Roman"/>
          <w:bCs/>
          <w:sz w:val="32"/>
          <w:szCs w:val="32"/>
        </w:rPr>
        <w:t>四方之才</w:t>
      </w:r>
      <w:r>
        <w:rPr>
          <w:rFonts w:hint="eastAsia" w:ascii="Times New Roman" w:eastAsia="仿宋_GB2312" w:cs="Times New Roman"/>
          <w:bCs/>
          <w:sz w:val="32"/>
          <w:szCs w:val="32"/>
        </w:rPr>
        <w:t>”</w:t>
      </w:r>
      <w:r>
        <w:rPr>
          <w:rFonts w:ascii="Times New Roman" w:eastAsia="仿宋_GB2312" w:cs="Times New Roman"/>
          <w:bCs/>
          <w:sz w:val="32"/>
          <w:szCs w:val="32"/>
        </w:rPr>
        <w:t>汇聚计划、</w:t>
      </w:r>
      <w:r>
        <w:rPr>
          <w:rFonts w:hint="eastAsia" w:ascii="Times New Roman" w:eastAsia="仿宋_GB2312" w:cs="Times New Roman"/>
          <w:bCs/>
          <w:sz w:val="32"/>
          <w:szCs w:val="32"/>
        </w:rPr>
        <w:t>“</w:t>
      </w:r>
      <w:r>
        <w:rPr>
          <w:rFonts w:ascii="Times New Roman" w:eastAsia="仿宋_GB2312" w:cs="Times New Roman"/>
          <w:bCs/>
          <w:sz w:val="32"/>
          <w:szCs w:val="32"/>
        </w:rPr>
        <w:t>南海</w:t>
      </w:r>
      <w:r>
        <w:rPr>
          <w:rFonts w:hint="eastAsia" w:ascii="Times New Roman" w:eastAsia="仿宋_GB2312" w:cs="Times New Roman"/>
          <w:bCs/>
          <w:sz w:val="32"/>
          <w:szCs w:val="32"/>
        </w:rPr>
        <w:t>”</w:t>
      </w:r>
      <w:r>
        <w:rPr>
          <w:rFonts w:ascii="Times New Roman" w:eastAsia="仿宋_GB2312" w:cs="Times New Roman"/>
          <w:bCs/>
          <w:sz w:val="32"/>
          <w:szCs w:val="32"/>
        </w:rPr>
        <w:t>人才开发计划等重大人才项目，支持</w:t>
      </w:r>
      <w:r>
        <w:rPr>
          <w:rFonts w:hint="eastAsia" w:ascii="Times New Roman" w:eastAsia="仿宋_GB2312" w:cs="Times New Roman"/>
          <w:bCs/>
          <w:sz w:val="32"/>
          <w:szCs w:val="32"/>
        </w:rPr>
        <w:t>“</w:t>
      </w:r>
      <w:r>
        <w:rPr>
          <w:rFonts w:ascii="Times New Roman" w:eastAsia="仿宋_GB2312" w:cs="Times New Roman"/>
          <w:bCs/>
          <w:sz w:val="32"/>
          <w:szCs w:val="32"/>
        </w:rPr>
        <w:t>百万人才进海南</w:t>
      </w:r>
      <w:r>
        <w:rPr>
          <w:rFonts w:hint="eastAsia" w:ascii="Times New Roman" w:eastAsia="仿宋_GB2312" w:cs="Times New Roman"/>
          <w:bCs/>
          <w:sz w:val="32"/>
          <w:szCs w:val="32"/>
        </w:rPr>
        <w:t>”</w:t>
      </w:r>
      <w:r>
        <w:rPr>
          <w:rFonts w:ascii="Times New Roman" w:eastAsia="仿宋_GB2312" w:cs="Times New Roman"/>
          <w:bCs/>
          <w:sz w:val="32"/>
          <w:szCs w:val="32"/>
        </w:rPr>
        <w:t>行动计划如期完成，加快建设</w:t>
      </w:r>
      <w:r>
        <w:rPr>
          <w:rFonts w:hint="eastAsia" w:ascii="Times New Roman" w:eastAsia="仿宋_GB2312" w:cs="Times New Roman"/>
          <w:bCs/>
          <w:sz w:val="32"/>
          <w:szCs w:val="32"/>
        </w:rPr>
        <w:t>“</w:t>
      </w:r>
      <w:r>
        <w:rPr>
          <w:rFonts w:ascii="Times New Roman" w:eastAsia="仿宋_GB2312" w:cs="Times New Roman"/>
          <w:bCs/>
          <w:sz w:val="32"/>
          <w:szCs w:val="32"/>
        </w:rPr>
        <w:t>人才荟萃之岛</w:t>
      </w:r>
      <w:r>
        <w:rPr>
          <w:rFonts w:hint="eastAsia" w:ascii="Times New Roman" w:eastAsia="仿宋_GB2312" w:cs="Times New Roman"/>
          <w:bCs/>
          <w:sz w:val="32"/>
          <w:szCs w:val="32"/>
        </w:rPr>
        <w:t>”</w:t>
      </w:r>
      <w:r>
        <w:rPr>
          <w:rFonts w:ascii="Times New Roman" w:eastAsia="仿宋_GB2312" w:cs="Times New Roman"/>
          <w:bCs/>
          <w:sz w:val="32"/>
          <w:szCs w:val="32"/>
        </w:rPr>
        <w:t>。</w:t>
      </w:r>
    </w:p>
    <w:p w14:paraId="7BFBE5A5">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加强财政金融协调联动。自贸港建设投资基金和自贸港创新投资基金增设8只子基金、认缴规模54.5亿元，支持箭元科技、大新华飞维、润泽科技等重大项目建设，推动新紫光海南产业基地落成。省融担基金融资担保业务平均费率降至0.46%，全年新增融资担保业务66亿元，持续降低小微企业、</w:t>
      </w:r>
      <w:r>
        <w:rPr>
          <w:rFonts w:hint="eastAsia" w:ascii="Times New Roman" w:eastAsia="仿宋_GB2312" w:cs="Times New Roman"/>
          <w:bCs/>
          <w:sz w:val="32"/>
          <w:szCs w:val="32"/>
        </w:rPr>
        <w:t>“</w:t>
      </w:r>
      <w:r>
        <w:rPr>
          <w:rFonts w:ascii="Times New Roman" w:eastAsia="仿宋_GB2312" w:cs="Times New Roman"/>
          <w:bCs/>
          <w:sz w:val="32"/>
          <w:szCs w:val="32"/>
        </w:rPr>
        <w:t>三农</w:t>
      </w:r>
      <w:r>
        <w:rPr>
          <w:rFonts w:hint="eastAsia" w:ascii="Times New Roman" w:eastAsia="仿宋_GB2312" w:cs="Times New Roman"/>
          <w:bCs/>
          <w:sz w:val="32"/>
          <w:szCs w:val="32"/>
        </w:rPr>
        <w:t>”</w:t>
      </w:r>
      <w:r>
        <w:rPr>
          <w:rFonts w:ascii="Times New Roman" w:eastAsia="仿宋_GB2312" w:cs="Times New Roman"/>
          <w:bCs/>
          <w:sz w:val="32"/>
          <w:szCs w:val="32"/>
        </w:rPr>
        <w:t>等市场主体融资成本。在全省范围内开展巨灾保险，提升应对重大自然灾害风险能力。</w:t>
      </w:r>
    </w:p>
    <w:p w14:paraId="3E2C03CC">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支持重点园区和区域协调发展。拨付301.8亿元，支持园区基础设施建设、产业链条延伸拓展。调整优化重点园区省级财政补助政策，结合园区资源禀赋和发展阶段分类施策，在2025—2027年给予稳定可预期的财力补助，激励重点园区发挥经济发展</w:t>
      </w:r>
      <w:r>
        <w:rPr>
          <w:rFonts w:hint="eastAsia" w:ascii="Times New Roman" w:eastAsia="仿宋_GB2312" w:cs="Times New Roman"/>
          <w:bCs/>
          <w:sz w:val="32"/>
          <w:szCs w:val="32"/>
        </w:rPr>
        <w:t>“</w:t>
      </w:r>
      <w:r>
        <w:rPr>
          <w:rFonts w:ascii="Times New Roman" w:eastAsia="仿宋_GB2312" w:cs="Times New Roman"/>
          <w:bCs/>
          <w:sz w:val="32"/>
          <w:szCs w:val="32"/>
        </w:rPr>
        <w:t>主阵地</w:t>
      </w:r>
      <w:r>
        <w:rPr>
          <w:rFonts w:hint="eastAsia" w:ascii="Times New Roman" w:eastAsia="仿宋_GB2312" w:cs="Times New Roman"/>
          <w:bCs/>
          <w:sz w:val="32"/>
          <w:szCs w:val="32"/>
        </w:rPr>
        <w:t>”</w:t>
      </w:r>
      <w:r>
        <w:rPr>
          <w:rFonts w:ascii="Times New Roman" w:eastAsia="仿宋_GB2312" w:cs="Times New Roman"/>
          <w:bCs/>
          <w:sz w:val="32"/>
          <w:szCs w:val="32"/>
        </w:rPr>
        <w:t>作用。落实三亚经济圈一体化财政支持政策，助力提升海口经济圈发展能级，持续支持儋州洋浦一体化发展。支持湘琼、浙琼、粤琼等省际合作园区以及海口高新区与屯昌、乐城等省内</w:t>
      </w:r>
      <w:r>
        <w:rPr>
          <w:rFonts w:hint="eastAsia" w:ascii="Times New Roman" w:eastAsia="仿宋_GB2312" w:cs="Times New Roman"/>
          <w:bCs/>
          <w:sz w:val="32"/>
          <w:szCs w:val="32"/>
        </w:rPr>
        <w:t>“</w:t>
      </w:r>
      <w:r>
        <w:rPr>
          <w:rFonts w:ascii="Times New Roman" w:eastAsia="仿宋_GB2312" w:cs="Times New Roman"/>
          <w:bCs/>
          <w:sz w:val="32"/>
          <w:szCs w:val="32"/>
        </w:rPr>
        <w:t>飞地经济</w:t>
      </w:r>
      <w:r>
        <w:rPr>
          <w:rFonts w:hint="eastAsia" w:ascii="Times New Roman" w:eastAsia="仿宋_GB2312" w:cs="Times New Roman"/>
          <w:bCs/>
          <w:sz w:val="32"/>
          <w:szCs w:val="32"/>
        </w:rPr>
        <w:t>”</w:t>
      </w:r>
      <w:r>
        <w:rPr>
          <w:rFonts w:ascii="Times New Roman" w:eastAsia="仿宋_GB2312" w:cs="Times New Roman"/>
          <w:bCs/>
          <w:sz w:val="32"/>
          <w:szCs w:val="32"/>
        </w:rPr>
        <w:t>合作。</w:t>
      </w:r>
    </w:p>
    <w:p w14:paraId="37BAB10A">
      <w:pPr>
        <w:pStyle w:val="16"/>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在发展中保障和改善民生，持续增进人民群众福祉</w:t>
      </w:r>
    </w:p>
    <w:p w14:paraId="2721CEF5">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更大力度稳定和扩大就业。拨付就业补助资金10.3亿元，持续加大就业支持力度。对符合条件的中小微企业与重点群体，按照个人缴费额的25%给予社会保险补贴，扩大社会保险补贴范围。支持高校开发公共服务岗位，着力解决高校毕业生就业问题。开展</w:t>
      </w:r>
      <w:r>
        <w:rPr>
          <w:rFonts w:hint="eastAsia" w:ascii="Times New Roman" w:eastAsia="仿宋_GB2312" w:cs="Times New Roman"/>
          <w:bCs/>
          <w:sz w:val="32"/>
          <w:szCs w:val="32"/>
        </w:rPr>
        <w:t>“</w:t>
      </w:r>
      <w:r>
        <w:rPr>
          <w:rFonts w:ascii="Times New Roman" w:eastAsia="仿宋_GB2312" w:cs="Times New Roman"/>
          <w:bCs/>
          <w:sz w:val="32"/>
          <w:szCs w:val="32"/>
        </w:rPr>
        <w:t>创业担保贷</w:t>
      </w:r>
      <w:r>
        <w:rPr>
          <w:rFonts w:hint="eastAsia" w:ascii="Times New Roman" w:eastAsia="仿宋_GB2312" w:cs="Times New Roman"/>
          <w:bCs/>
          <w:sz w:val="32"/>
          <w:szCs w:val="32"/>
        </w:rPr>
        <w:t>”</w:t>
      </w:r>
      <w:r>
        <w:rPr>
          <w:rFonts w:ascii="Times New Roman" w:eastAsia="仿宋_GB2312" w:cs="Times New Roman"/>
          <w:bCs/>
          <w:sz w:val="32"/>
          <w:szCs w:val="32"/>
        </w:rPr>
        <w:t>，帮扶支持重点就业群体和符合条件的小微企业。推出</w:t>
      </w:r>
      <w:r>
        <w:rPr>
          <w:rFonts w:hint="eastAsia" w:ascii="Times New Roman" w:eastAsia="仿宋_GB2312" w:cs="Times New Roman"/>
          <w:bCs/>
          <w:sz w:val="32"/>
          <w:szCs w:val="32"/>
        </w:rPr>
        <w:t>“</w:t>
      </w:r>
      <w:r>
        <w:rPr>
          <w:rFonts w:ascii="Times New Roman" w:eastAsia="仿宋_GB2312" w:cs="Times New Roman"/>
          <w:bCs/>
          <w:sz w:val="32"/>
          <w:szCs w:val="32"/>
        </w:rPr>
        <w:t>飞行学员担保贷</w:t>
      </w:r>
      <w:r>
        <w:rPr>
          <w:rFonts w:hint="eastAsia" w:ascii="Times New Roman" w:eastAsia="仿宋_GB2312" w:cs="Times New Roman"/>
          <w:bCs/>
          <w:sz w:val="32"/>
          <w:szCs w:val="32"/>
        </w:rPr>
        <w:t>”</w:t>
      </w:r>
      <w:r>
        <w:rPr>
          <w:rFonts w:ascii="Times New Roman" w:eastAsia="仿宋_GB2312" w:cs="Times New Roman"/>
          <w:bCs/>
          <w:sz w:val="32"/>
          <w:szCs w:val="32"/>
        </w:rPr>
        <w:t>并实现首笔落地，引导金融资源支持培养航空人才。</w:t>
      </w:r>
    </w:p>
    <w:p w14:paraId="63BD85F6">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推动社会保障水平稳步提升。及时拨付9.7亿元，落实育儿补贴政策。支持实施新生儿免费落地险，降低家庭生育养育成本。拨付1.1亿元，支持发放困难群众一次性生活补贴及提高百岁老人长寿补助标准，惠及21万余人。拨付11.7亿元，支持提高城乡居民基础养老金最低标准和退休人员基本养老金水平。连续5年提高城市、农村最低生活保障标准，实现城乡低保标准统一。拨付11.7亿元，支持保障性住房建设。</w:t>
      </w:r>
    </w:p>
    <w:p w14:paraId="57AD71B3">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支持健康海南建设。拨付0.9亿元，支持优质医疗资源下沉，推进村卫生室标准化建设。拨付11.5亿元，支持国际精准医学创新中心、省人民医院南院（观澜湖）、上海瑞金海南医院二期工程、省中医院国家区域医疗中心等重点项目建设。推进全省医疗卫生信息化建设，支持智能医疗辅助诊断系统和</w:t>
      </w:r>
      <w:r>
        <w:rPr>
          <w:rFonts w:hint="eastAsia" w:ascii="Times New Roman" w:eastAsia="仿宋_GB2312" w:cs="Times New Roman"/>
          <w:bCs/>
          <w:sz w:val="32"/>
          <w:szCs w:val="32"/>
        </w:rPr>
        <w:t>“</w:t>
      </w:r>
      <w:r>
        <w:rPr>
          <w:rFonts w:ascii="Times New Roman" w:eastAsia="仿宋_GB2312" w:cs="Times New Roman"/>
          <w:bCs/>
          <w:sz w:val="32"/>
          <w:szCs w:val="32"/>
        </w:rPr>
        <w:t>三医联动一张网</w:t>
      </w:r>
      <w:r>
        <w:rPr>
          <w:rFonts w:hint="eastAsia" w:ascii="Times New Roman" w:eastAsia="仿宋_GB2312" w:cs="Times New Roman"/>
          <w:bCs/>
          <w:sz w:val="32"/>
          <w:szCs w:val="32"/>
        </w:rPr>
        <w:t>”</w:t>
      </w:r>
      <w:r>
        <w:rPr>
          <w:rFonts w:ascii="Times New Roman" w:eastAsia="仿宋_GB2312" w:cs="Times New Roman"/>
          <w:bCs/>
          <w:sz w:val="32"/>
          <w:szCs w:val="32"/>
        </w:rPr>
        <w:t>建设。</w:t>
      </w:r>
    </w:p>
    <w:p w14:paraId="0B736AA8">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推动教育资源扩优提质。及时拨付1.4亿元，确保免费学前教育政策在秋季开学前落地，惠及全省适龄儿童11.1万人。拨付88亿元支持海南大学、海南师范大学、海南医科大学等高校建设，推动高等教育提质扩容。拨付10.9亿元，支持海南警察学院设立并如期开学招生，填补我省公安高等学历教育的空白。拨付1.7亿元，支持引进中外合作办学机构，助力国际教育创新岛建设。</w:t>
      </w:r>
    </w:p>
    <w:p w14:paraId="03DE4536">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支持乡村全面振兴。拨付</w:t>
      </w:r>
      <w:r>
        <w:rPr>
          <w:rFonts w:hint="eastAsia" w:ascii="Times New Roman" w:eastAsia="仿宋_GB2312" w:cs="Times New Roman"/>
          <w:bCs/>
          <w:sz w:val="32"/>
          <w:szCs w:val="32"/>
          <w:lang w:val="en-US" w:eastAsia="zh-CN"/>
        </w:rPr>
        <w:t>35</w:t>
      </w:r>
      <w:r>
        <w:rPr>
          <w:rFonts w:ascii="Times New Roman" w:eastAsia="仿宋_GB2312" w:cs="Times New Roman"/>
          <w:bCs/>
          <w:sz w:val="32"/>
          <w:szCs w:val="32"/>
        </w:rPr>
        <w:t>.2亿元，巩固64.3万脱贫人口不发生规模性返贫，衔接推进乡村振兴。拨付8.9亿元，深化农村改革，改善农村生产和生态宜居条件，建设200个和美乡村。拨付11.7亿元，支持高标准农田建设、管护及发放耕地地力保护补贴，提升粮食生产能力。拨付13.5亿元，支持渔业</w:t>
      </w:r>
      <w:r>
        <w:rPr>
          <w:rFonts w:hint="eastAsia" w:ascii="Times New Roman" w:eastAsia="仿宋_GB2312" w:cs="Times New Roman"/>
          <w:bCs/>
          <w:sz w:val="32"/>
          <w:szCs w:val="32"/>
        </w:rPr>
        <w:t>“</w:t>
      </w:r>
      <w:r>
        <w:rPr>
          <w:rFonts w:ascii="Times New Roman" w:eastAsia="仿宋_GB2312" w:cs="Times New Roman"/>
          <w:bCs/>
          <w:sz w:val="32"/>
          <w:szCs w:val="32"/>
        </w:rPr>
        <w:t>往深海走、往岸上走、往休闲渔业走</w:t>
      </w:r>
      <w:r>
        <w:rPr>
          <w:rFonts w:hint="eastAsia" w:ascii="Times New Roman" w:eastAsia="仿宋_GB2312" w:cs="Times New Roman"/>
          <w:bCs/>
          <w:sz w:val="32"/>
          <w:szCs w:val="32"/>
        </w:rPr>
        <w:t>”</w:t>
      </w:r>
      <w:r>
        <w:rPr>
          <w:rFonts w:ascii="Times New Roman" w:eastAsia="仿宋_GB2312" w:cs="Times New Roman"/>
          <w:bCs/>
          <w:sz w:val="32"/>
          <w:szCs w:val="32"/>
        </w:rPr>
        <w:t>。拨付18.7亿元，支持改善垦区民生，促进垦地融合发展。拨付</w:t>
      </w:r>
      <w:r>
        <w:rPr>
          <w:rFonts w:ascii="Times New Roman" w:eastAsia="仿宋_GB2312" w:cs="Times New Roman"/>
          <w:bCs/>
          <w:sz w:val="32"/>
          <w:szCs w:val="32"/>
          <w:lang w:eastAsia="zh"/>
        </w:rPr>
        <w:t>政</w:t>
      </w:r>
      <w:r>
        <w:rPr>
          <w:rFonts w:ascii="Times New Roman" w:eastAsia="仿宋_GB2312" w:cs="Times New Roman"/>
          <w:bCs/>
          <w:sz w:val="32"/>
          <w:szCs w:val="32"/>
        </w:rPr>
        <w:t>策性农业保险保费补贴1</w:t>
      </w:r>
      <w:r>
        <w:rPr>
          <w:rFonts w:ascii="Times New Roman" w:eastAsia="仿宋_GB2312" w:cs="Times New Roman"/>
          <w:bCs/>
          <w:sz w:val="32"/>
          <w:szCs w:val="32"/>
          <w:lang w:eastAsia="zh"/>
        </w:rPr>
        <w:t>0.9</w:t>
      </w:r>
      <w:r>
        <w:rPr>
          <w:rFonts w:ascii="Times New Roman" w:eastAsia="仿宋_GB2312" w:cs="Times New Roman"/>
          <w:bCs/>
          <w:sz w:val="32"/>
          <w:szCs w:val="32"/>
        </w:rPr>
        <w:t>亿元，发挥农业保险强农惠农效应，农企农户获得保险赔偿</w:t>
      </w:r>
      <w:r>
        <w:rPr>
          <w:rFonts w:ascii="Times New Roman" w:eastAsia="仿宋_GB2312" w:cs="Times New Roman"/>
          <w:bCs/>
          <w:sz w:val="32"/>
          <w:szCs w:val="32"/>
          <w:lang w:eastAsia="zh"/>
        </w:rPr>
        <w:t>19.3</w:t>
      </w:r>
      <w:r>
        <w:rPr>
          <w:rFonts w:ascii="Times New Roman" w:eastAsia="仿宋_GB2312" w:cs="Times New Roman"/>
          <w:bCs/>
          <w:sz w:val="32"/>
          <w:szCs w:val="32"/>
        </w:rPr>
        <w:t>亿元。</w:t>
      </w:r>
    </w:p>
    <w:p w14:paraId="17691882">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u w:val="single"/>
        </w:rPr>
      </w:pPr>
      <w:r>
        <w:rPr>
          <w:rFonts w:ascii="Times New Roman" w:eastAsia="仿宋_GB2312" w:cs="Times New Roman"/>
          <w:bCs/>
          <w:sz w:val="32"/>
          <w:szCs w:val="32"/>
        </w:rPr>
        <w:t>支持生态文明建设。拨付8亿元，用于海南热带雨林国家公园生态保护、绿色发展和民生改善，支持组建海南热带雨林国家公园管理局。成功将临高县、陵水县海洋生态保护修复项目纳入中央财政海洋生态保护修复项目支持范围，可获得中央财政资金6亿元支持。拨付9.5亿元，支持南部典型热带区域</w:t>
      </w:r>
      <w:r>
        <w:rPr>
          <w:rFonts w:hint="eastAsia" w:ascii="Times New Roman" w:eastAsia="仿宋_GB2312" w:cs="Times New Roman"/>
          <w:bCs/>
          <w:sz w:val="32"/>
          <w:szCs w:val="32"/>
        </w:rPr>
        <w:t>“</w:t>
      </w:r>
      <w:r>
        <w:rPr>
          <w:rFonts w:ascii="Times New Roman" w:eastAsia="仿宋_GB2312" w:cs="Times New Roman"/>
          <w:bCs/>
          <w:sz w:val="32"/>
          <w:szCs w:val="32"/>
        </w:rPr>
        <w:t>山水工程</w:t>
      </w:r>
      <w:r>
        <w:rPr>
          <w:rFonts w:hint="eastAsia" w:ascii="Times New Roman" w:eastAsia="仿宋_GB2312" w:cs="Times New Roman"/>
          <w:bCs/>
          <w:sz w:val="32"/>
          <w:szCs w:val="32"/>
        </w:rPr>
        <w:t>”</w:t>
      </w:r>
      <w:r>
        <w:rPr>
          <w:rFonts w:ascii="Times New Roman" w:eastAsia="仿宋_GB2312" w:cs="Times New Roman"/>
          <w:bCs/>
          <w:sz w:val="32"/>
          <w:szCs w:val="32"/>
        </w:rPr>
        <w:t>项目建设，助力构建从山顶到海洋的生态保护治理大格局。</w:t>
      </w:r>
    </w:p>
    <w:p w14:paraId="284BD1BD">
      <w:pPr>
        <w:pStyle w:val="16"/>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扎实推进财政科学管理，更好释放财政治理效能</w:t>
      </w:r>
    </w:p>
    <w:p w14:paraId="2E5339E2">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深化零基预算改革。改革试点范围扩大到省本级所有部门，并选取海口、三亚、儋州、陵水、澄迈等5个市县开展试点。通过全面清理整合政策、做实事前绩效评估、加快支出标准建设，打破支出固化格局。强化转移支付激励作用。下达促进高质量发展激励资金8亿元，支持在经济发展上多作贡献的市县，推动市县提升财政收入规模和质量。坚持党政机关过紧日子。牵头开展不习惯</w:t>
      </w:r>
      <w:r>
        <w:rPr>
          <w:rFonts w:hint="eastAsia" w:ascii="Times New Roman" w:eastAsia="仿宋_GB2312" w:cs="Times New Roman"/>
          <w:bCs/>
          <w:sz w:val="32"/>
          <w:szCs w:val="32"/>
        </w:rPr>
        <w:t>“</w:t>
      </w:r>
      <w:r>
        <w:rPr>
          <w:rFonts w:ascii="Times New Roman" w:eastAsia="仿宋_GB2312" w:cs="Times New Roman"/>
          <w:bCs/>
          <w:sz w:val="32"/>
          <w:szCs w:val="32"/>
        </w:rPr>
        <w:t>过紧日子</w:t>
      </w:r>
      <w:r>
        <w:rPr>
          <w:rFonts w:hint="eastAsia" w:ascii="Times New Roman" w:eastAsia="仿宋_GB2312" w:cs="Times New Roman"/>
          <w:bCs/>
          <w:sz w:val="32"/>
          <w:szCs w:val="32"/>
        </w:rPr>
        <w:t>”</w:t>
      </w:r>
      <w:r>
        <w:rPr>
          <w:rFonts w:ascii="Times New Roman" w:eastAsia="仿宋_GB2312" w:cs="Times New Roman"/>
          <w:bCs/>
          <w:sz w:val="32"/>
          <w:szCs w:val="32"/>
        </w:rPr>
        <w:t>集中整治工作，完善差旅费、通用办公设备家具配置等管理制度，建立过紧日子评估机制。推进差旅公务餐改革。创新国有资产管理。以三亚市为试点，积极探索国有资产</w:t>
      </w:r>
      <w:r>
        <w:rPr>
          <w:rFonts w:hint="eastAsia" w:ascii="Times New Roman" w:eastAsia="仿宋_GB2312" w:cs="Times New Roman"/>
          <w:bCs/>
          <w:sz w:val="32"/>
          <w:szCs w:val="32"/>
        </w:rPr>
        <w:t>“</w:t>
      </w:r>
      <w:r>
        <w:rPr>
          <w:rFonts w:ascii="Times New Roman" w:eastAsia="仿宋_GB2312" w:cs="Times New Roman"/>
          <w:bCs/>
          <w:sz w:val="32"/>
          <w:szCs w:val="32"/>
        </w:rPr>
        <w:t>全覆盖、动态化、价值化</w:t>
      </w:r>
      <w:r>
        <w:rPr>
          <w:rFonts w:hint="eastAsia" w:ascii="Times New Roman" w:eastAsia="仿宋_GB2312" w:cs="Times New Roman"/>
          <w:bCs/>
          <w:sz w:val="32"/>
          <w:szCs w:val="32"/>
        </w:rPr>
        <w:t>”</w:t>
      </w:r>
      <w:r>
        <w:rPr>
          <w:rFonts w:ascii="Times New Roman" w:eastAsia="仿宋_GB2312" w:cs="Times New Roman"/>
          <w:bCs/>
          <w:sz w:val="32"/>
          <w:szCs w:val="32"/>
        </w:rPr>
        <w:t>管理新路径，提升国有资产使用效率和管理效能。推进政府采购领域改革。推动政府采购智慧云平台上线并稳健运行，在全国率先将预算管理系统与政府采购交易系统无缝对接、数据贯通，实现政府采购全流程电子化闭环管理。完善绩效管理机制。启动政府收入绩效管理试点工作。加强绩效目标管理，推动绩效标准指标数量增长96%，优化绩效运行监控机制，深化财政重点绩效评价结果应用。</w:t>
      </w:r>
    </w:p>
    <w:p w14:paraId="7AA58E61">
      <w:pPr>
        <w:pStyle w:val="16"/>
        <w:keepNext w:val="0"/>
        <w:keepLines w:val="0"/>
        <w:pageBreakBefore w:val="0"/>
        <w:widowControl w:val="0"/>
        <w:numPr>
          <w:ilvl w:val="0"/>
          <w:numId w:val="1"/>
        </w:numPr>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更好统筹发展与安全，筑牢财政发展根基</w:t>
      </w:r>
    </w:p>
    <w:p w14:paraId="3D07CB29">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防范化解重点领域风险。认真执行一揽子化债方案，牢牢守住不发生系统性风险底线。科学合理安排置换债券额度，推动全省融资平台退出和隐性债务化解。加强专项债券项目穿透式监管，强化</w:t>
      </w:r>
      <w:r>
        <w:rPr>
          <w:rFonts w:hint="eastAsia" w:ascii="Times New Roman" w:eastAsia="仿宋_GB2312" w:cs="Times New Roman"/>
          <w:bCs/>
          <w:sz w:val="32"/>
          <w:szCs w:val="32"/>
        </w:rPr>
        <w:t>“</w:t>
      </w:r>
      <w:r>
        <w:rPr>
          <w:rFonts w:ascii="Times New Roman" w:eastAsia="仿宋_GB2312" w:cs="Times New Roman"/>
          <w:bCs/>
          <w:sz w:val="32"/>
          <w:szCs w:val="32"/>
        </w:rPr>
        <w:t>借、用、管、还</w:t>
      </w:r>
      <w:r>
        <w:rPr>
          <w:rFonts w:hint="eastAsia" w:ascii="Times New Roman" w:eastAsia="仿宋_GB2312" w:cs="Times New Roman"/>
          <w:bCs/>
          <w:sz w:val="32"/>
          <w:szCs w:val="32"/>
        </w:rPr>
        <w:t>”</w:t>
      </w:r>
      <w:r>
        <w:rPr>
          <w:rFonts w:ascii="Times New Roman" w:eastAsia="仿宋_GB2312" w:cs="Times New Roman"/>
          <w:bCs/>
          <w:sz w:val="32"/>
          <w:szCs w:val="32"/>
        </w:rPr>
        <w:t>全生命周期管理。构建</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管理制度闭环，全面实施预算事前审核和资金专账管理，动态监测预警各县区</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库款保障水平，在库款调度时优先保障重点领域和重要时点需要，切实兜牢基层</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底线。持续推进暂付款消化清理。强化财会监督检查。严肃财经纪律，聚焦重点领域开展财会监督专项行动和专项整治，纠治一批违反财经纪律的突出问题。组织开展省本级集中核算单位和部分网络管理单位违反中央八项规定精神问题梳理排查，持续开展注册会计师行业、乡村振兴资金使用等重点领域专项整治工作。深化财会监督对</w:t>
      </w:r>
      <w:r>
        <w:rPr>
          <w:rFonts w:hint="eastAsia" w:ascii="Times New Roman" w:eastAsia="仿宋_GB2312" w:cs="Times New Roman"/>
          <w:bCs/>
          <w:sz w:val="32"/>
          <w:szCs w:val="32"/>
        </w:rPr>
        <w:t>“</w:t>
      </w:r>
      <w:r>
        <w:rPr>
          <w:rFonts w:ascii="Times New Roman" w:eastAsia="仿宋_GB2312" w:cs="Times New Roman"/>
          <w:bCs/>
          <w:sz w:val="32"/>
          <w:szCs w:val="32"/>
        </w:rPr>
        <w:t>监督一张网</w:t>
      </w:r>
      <w:r>
        <w:rPr>
          <w:rFonts w:hint="eastAsia" w:ascii="Times New Roman" w:eastAsia="仿宋_GB2312" w:cs="Times New Roman"/>
          <w:bCs/>
          <w:sz w:val="32"/>
          <w:szCs w:val="32"/>
        </w:rPr>
        <w:t>”</w:t>
      </w:r>
      <w:r>
        <w:rPr>
          <w:rFonts w:ascii="Times New Roman" w:eastAsia="仿宋_GB2312" w:cs="Times New Roman"/>
          <w:bCs/>
          <w:sz w:val="32"/>
          <w:szCs w:val="32"/>
        </w:rPr>
        <w:t>平台应用实效。</w:t>
      </w:r>
    </w:p>
    <w:p w14:paraId="2AE61D77">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力支持和配合人大依法开展预算审查，落实预算报告审查意见，积极吸收采纳人大代表建议意见。做好国有资产综合报告工作，年度国有资产管理情况综合报告报经省人大常委会审议通过。2025年，省财政厅承办省人大代表建议、省政协委员提案267件，办结率和办结件的结果满意率均为100%。积极推进审计问题整改，2025年省审计厅指出的19个审计问题，已完成整改12个，正在推进整改7个（均为分阶段整改类型，未到整改期限）。</w:t>
      </w:r>
    </w:p>
    <w:p w14:paraId="1D892F07">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2025年是</w:t>
      </w:r>
      <w:r>
        <w:rPr>
          <w:rFonts w:hint="eastAsia" w:ascii="Times New Roman" w:eastAsia="仿宋_GB2312" w:cs="Times New Roman"/>
          <w:bCs/>
          <w:sz w:val="32"/>
          <w:szCs w:val="32"/>
        </w:rPr>
        <w:t>“</w:t>
      </w:r>
      <w:r>
        <w:rPr>
          <w:rFonts w:ascii="Times New Roman" w:eastAsia="仿宋_GB2312" w:cs="Times New Roman"/>
          <w:bCs/>
          <w:sz w:val="32"/>
          <w:szCs w:val="32"/>
        </w:rPr>
        <w:t>十四五</w:t>
      </w:r>
      <w:r>
        <w:rPr>
          <w:rFonts w:hint="eastAsia" w:ascii="Times New Roman" w:eastAsia="仿宋_GB2312" w:cs="Times New Roman"/>
          <w:bCs/>
          <w:sz w:val="32"/>
          <w:szCs w:val="32"/>
        </w:rPr>
        <w:t>”</w:t>
      </w:r>
      <w:r>
        <w:rPr>
          <w:rFonts w:ascii="Times New Roman" w:eastAsia="仿宋_GB2312" w:cs="Times New Roman"/>
          <w:bCs/>
          <w:sz w:val="32"/>
          <w:szCs w:val="32"/>
        </w:rPr>
        <w:t>规划收官之年。回顾过去五年，全省财政系统深入贯彻习近平总书记关于海南工作的系列重要讲话和指示批示精神，坚决贯彻省委、省政府决策部署，扎实做好财政各项工作，全力服务海南自贸港高质量发展。一是财政保障能力持续增强。全省一般公共预算收入累计4448.5亿元，比</w:t>
      </w:r>
      <w:r>
        <w:rPr>
          <w:rFonts w:hint="eastAsia" w:ascii="Times New Roman" w:eastAsia="仿宋_GB2312" w:cs="Times New Roman"/>
          <w:bCs/>
          <w:sz w:val="32"/>
          <w:szCs w:val="32"/>
        </w:rPr>
        <w:t>“</w:t>
      </w:r>
      <w:r>
        <w:rPr>
          <w:rFonts w:ascii="Times New Roman" w:eastAsia="仿宋_GB2312" w:cs="Times New Roman"/>
          <w:bCs/>
          <w:sz w:val="32"/>
          <w:szCs w:val="32"/>
        </w:rPr>
        <w:t>十三五</w:t>
      </w:r>
      <w:r>
        <w:rPr>
          <w:rFonts w:hint="eastAsia" w:ascii="Times New Roman" w:eastAsia="仿宋_GB2312" w:cs="Times New Roman"/>
          <w:bCs/>
          <w:sz w:val="32"/>
          <w:szCs w:val="32"/>
        </w:rPr>
        <w:t>”</w:t>
      </w:r>
      <w:r>
        <w:rPr>
          <w:rFonts w:ascii="Times New Roman" w:eastAsia="仿宋_GB2312" w:cs="Times New Roman"/>
          <w:bCs/>
          <w:sz w:val="32"/>
          <w:szCs w:val="32"/>
        </w:rPr>
        <w:t>增长20.4%，其中税收占比超过75%，收入质量保持良好态势。全省一般公共预算支出累计10955.5亿元，比</w:t>
      </w:r>
      <w:r>
        <w:rPr>
          <w:rFonts w:hint="eastAsia" w:ascii="Times New Roman" w:eastAsia="仿宋_GB2312" w:cs="Times New Roman"/>
          <w:bCs/>
          <w:sz w:val="32"/>
          <w:szCs w:val="32"/>
        </w:rPr>
        <w:t>“</w:t>
      </w:r>
      <w:r>
        <w:rPr>
          <w:rFonts w:ascii="Times New Roman" w:eastAsia="仿宋_GB2312" w:cs="Times New Roman"/>
          <w:bCs/>
          <w:sz w:val="32"/>
          <w:szCs w:val="32"/>
        </w:rPr>
        <w:t>十三五</w:t>
      </w:r>
      <w:r>
        <w:rPr>
          <w:rFonts w:hint="eastAsia" w:ascii="Times New Roman" w:eastAsia="仿宋_GB2312" w:cs="Times New Roman"/>
          <w:bCs/>
          <w:sz w:val="32"/>
          <w:szCs w:val="32"/>
        </w:rPr>
        <w:t>”</w:t>
      </w:r>
      <w:r>
        <w:rPr>
          <w:rFonts w:ascii="Times New Roman" w:eastAsia="仿宋_GB2312" w:cs="Times New Roman"/>
          <w:bCs/>
          <w:sz w:val="32"/>
          <w:szCs w:val="32"/>
        </w:rPr>
        <w:t>增长31.3%，同时，结构不断优化，更多</w:t>
      </w:r>
      <w:r>
        <w:rPr>
          <w:rFonts w:hint="eastAsia" w:ascii="Times New Roman" w:eastAsia="仿宋_GB2312" w:cs="Times New Roman"/>
          <w:bCs/>
          <w:sz w:val="32"/>
          <w:szCs w:val="32"/>
        </w:rPr>
        <w:t>“</w:t>
      </w:r>
      <w:r>
        <w:rPr>
          <w:rFonts w:ascii="Times New Roman" w:eastAsia="仿宋_GB2312" w:cs="Times New Roman"/>
          <w:bCs/>
          <w:sz w:val="32"/>
          <w:szCs w:val="32"/>
        </w:rPr>
        <w:t>真金白银</w:t>
      </w:r>
      <w:r>
        <w:rPr>
          <w:rFonts w:hint="eastAsia" w:ascii="Times New Roman" w:eastAsia="仿宋_GB2312" w:cs="Times New Roman"/>
          <w:bCs/>
          <w:sz w:val="32"/>
          <w:szCs w:val="32"/>
        </w:rPr>
        <w:t>”</w:t>
      </w:r>
      <w:r>
        <w:rPr>
          <w:rFonts w:ascii="Times New Roman" w:eastAsia="仿宋_GB2312" w:cs="Times New Roman"/>
          <w:bCs/>
          <w:sz w:val="32"/>
          <w:szCs w:val="32"/>
        </w:rPr>
        <w:t>投向封关运作等发展大事和民生实事。二是纵深推进财税体制改革。推动落地实施3项</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政策、加工增值免关税试点等14项《海南自由贸易港建设总体方案》明确的早期收获税收政策，并实现多轮优化升级；新增出台4项税收政策。全岛封关运作之后，</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等政策升级扩围，自贸港税收政策制度体系初步成型。深化部门预算改革，强化财政资源统筹。启动零基预算改革，打破传统预算的</w:t>
      </w:r>
      <w:r>
        <w:rPr>
          <w:rFonts w:hint="eastAsia" w:ascii="Times New Roman" w:eastAsia="仿宋_GB2312" w:cs="Times New Roman"/>
          <w:bCs/>
          <w:sz w:val="32"/>
          <w:szCs w:val="32"/>
        </w:rPr>
        <w:t>“</w:t>
      </w:r>
      <w:r>
        <w:rPr>
          <w:rFonts w:ascii="Times New Roman" w:eastAsia="仿宋_GB2312" w:cs="Times New Roman"/>
          <w:bCs/>
          <w:sz w:val="32"/>
          <w:szCs w:val="32"/>
        </w:rPr>
        <w:t>路径依赖</w:t>
      </w:r>
      <w:r>
        <w:rPr>
          <w:rFonts w:hint="eastAsia" w:ascii="Times New Roman" w:eastAsia="仿宋_GB2312" w:cs="Times New Roman"/>
          <w:bCs/>
          <w:sz w:val="32"/>
          <w:szCs w:val="32"/>
        </w:rPr>
        <w:t>”</w:t>
      </w:r>
      <w:r>
        <w:rPr>
          <w:rFonts w:ascii="Times New Roman" w:eastAsia="仿宋_GB2312" w:cs="Times New Roman"/>
          <w:bCs/>
          <w:sz w:val="32"/>
          <w:szCs w:val="32"/>
        </w:rPr>
        <w:t>和</w:t>
      </w:r>
      <w:r>
        <w:rPr>
          <w:rFonts w:hint="eastAsia" w:ascii="Times New Roman" w:eastAsia="仿宋_GB2312" w:cs="Times New Roman"/>
          <w:bCs/>
          <w:sz w:val="32"/>
          <w:szCs w:val="32"/>
        </w:rPr>
        <w:t>“</w:t>
      </w:r>
      <w:r>
        <w:rPr>
          <w:rFonts w:ascii="Times New Roman" w:eastAsia="仿宋_GB2312" w:cs="Times New Roman"/>
          <w:bCs/>
          <w:sz w:val="32"/>
          <w:szCs w:val="32"/>
        </w:rPr>
        <w:t>惯性增长</w:t>
      </w:r>
      <w:r>
        <w:rPr>
          <w:rFonts w:hint="eastAsia" w:ascii="Times New Roman" w:eastAsia="仿宋_GB2312" w:cs="Times New Roman"/>
          <w:bCs/>
          <w:sz w:val="32"/>
          <w:szCs w:val="32"/>
        </w:rPr>
        <w:t>”</w:t>
      </w:r>
      <w:r>
        <w:rPr>
          <w:rFonts w:ascii="Times New Roman" w:eastAsia="仿宋_GB2312" w:cs="Times New Roman"/>
          <w:bCs/>
          <w:sz w:val="32"/>
          <w:szCs w:val="32"/>
        </w:rPr>
        <w:t>。实施省以下财政体制改革。将税收更多留给市县，激发市县发展经济的积极性。设立自贸港建设投资基金和自贸港创新投资基金两只母基金，撬动更多社会资本参与自贸港建设。三是民生导向更加鲜明。全省民生支出占地方一般公共预算支出比重保持在七成以上，支持解决了一批民生欠账。我省连续8年获得中央财政衔接推进乡村振兴补助资金绩效评价</w:t>
      </w:r>
      <w:r>
        <w:rPr>
          <w:rFonts w:hint="eastAsia" w:ascii="Times New Roman" w:eastAsia="仿宋_GB2312" w:cs="Times New Roman"/>
          <w:bCs/>
          <w:sz w:val="32"/>
          <w:szCs w:val="32"/>
        </w:rPr>
        <w:t>“</w:t>
      </w:r>
      <w:r>
        <w:rPr>
          <w:rFonts w:ascii="Times New Roman" w:eastAsia="仿宋_GB2312" w:cs="Times New Roman"/>
          <w:bCs/>
          <w:sz w:val="32"/>
          <w:szCs w:val="32"/>
        </w:rPr>
        <w:t>A</w:t>
      </w:r>
      <w:r>
        <w:rPr>
          <w:rFonts w:hint="eastAsia" w:ascii="Times New Roman" w:eastAsia="仿宋_GB2312" w:cs="Times New Roman"/>
          <w:bCs/>
          <w:sz w:val="32"/>
          <w:szCs w:val="32"/>
        </w:rPr>
        <w:t>”</w:t>
      </w:r>
      <w:r>
        <w:rPr>
          <w:rFonts w:ascii="Times New Roman" w:eastAsia="仿宋_GB2312" w:cs="Times New Roman"/>
          <w:bCs/>
          <w:sz w:val="32"/>
          <w:szCs w:val="32"/>
        </w:rPr>
        <w:t>等次。多渠道筹措超强台风</w:t>
      </w:r>
      <w:r>
        <w:rPr>
          <w:rFonts w:hint="eastAsia" w:ascii="Times New Roman" w:eastAsia="仿宋_GB2312" w:cs="Times New Roman"/>
          <w:bCs/>
          <w:sz w:val="32"/>
          <w:szCs w:val="32"/>
        </w:rPr>
        <w:t>“</w:t>
      </w:r>
      <w:r>
        <w:rPr>
          <w:rFonts w:ascii="Times New Roman" w:eastAsia="仿宋_GB2312" w:cs="Times New Roman"/>
          <w:bCs/>
          <w:sz w:val="32"/>
          <w:szCs w:val="32"/>
        </w:rPr>
        <w:t>摩羯</w:t>
      </w:r>
      <w:r>
        <w:rPr>
          <w:rFonts w:hint="eastAsia" w:ascii="Times New Roman" w:eastAsia="仿宋_GB2312" w:cs="Times New Roman"/>
          <w:bCs/>
          <w:sz w:val="32"/>
          <w:szCs w:val="32"/>
        </w:rPr>
        <w:t>”</w:t>
      </w:r>
      <w:r>
        <w:rPr>
          <w:rFonts w:ascii="Times New Roman" w:eastAsia="仿宋_GB2312" w:cs="Times New Roman"/>
          <w:bCs/>
          <w:sz w:val="32"/>
          <w:szCs w:val="32"/>
        </w:rPr>
        <w:t>救灾资金，全力支持应急抢险救援、灾后重建等工作。四是应对风险挑战能力不断提升。按时足额偿还地方政府债务本息，全省政府债务风险水平处于可控区间。始终将</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摆在财政工作的优先位置，截至目前，海南未发生基层</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问题。</w:t>
      </w:r>
    </w:p>
    <w:p w14:paraId="2EC0FC70">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以上成绩的取得，根本在于习近平总书记举旗定向、掌舵领航，在于习近平新时代中国特色社会主义思想的科学指引，是省委、省政府坚强领导的结果，是省人大、省政协及代表委员们悉心指导的结果，是全省上下凝心聚力、拼搏奋斗的结果。</w:t>
      </w:r>
    </w:p>
    <w:p w14:paraId="0702422B">
      <w:pPr>
        <w:pStyle w:val="16"/>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同时，我们也清醒认识到，当前和未来一段时间经济形势依然严峻复杂，财政工作仍面临一些困难与挑战：财政收入增长基础尚不稳固，刚性支出持续增长，财政收支矛盾仍较突出，部分市县财政收支平衡压力加大；财政资源配置效率有待提升，财政政策在促消费、扩内需方面不够丰富，对产业和园区的支持机制还需优化；财金联动深度不够，效益有待进一步释放；国有资产管理不够精细；预算绩效管理仍需提质增效。我们高度重视这些问题，将积极采取措施加以解决。</w:t>
      </w:r>
    </w:p>
    <w:p w14:paraId="6979B5BD">
      <w:pPr>
        <w:pStyle w:val="2"/>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hAnsi="Times New Roman" w:eastAsia="仿宋_GB2312" w:cs="Times New Roman"/>
          <w:bCs/>
          <w:sz w:val="32"/>
          <w:szCs w:val="32"/>
        </w:rPr>
      </w:pPr>
    </w:p>
    <w:p w14:paraId="63AC2F84">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jc w:val="center"/>
        <w:textAlignment w:val="auto"/>
        <w:rPr>
          <w:rFonts w:ascii="Times New Roman" w:eastAsia="黑体" w:cs="Times New Roman"/>
          <w:bCs/>
          <w:sz w:val="32"/>
          <w:szCs w:val="32"/>
        </w:rPr>
      </w:pPr>
      <w:r>
        <w:rPr>
          <w:rFonts w:ascii="Times New Roman" w:eastAsia="黑体" w:cs="Times New Roman"/>
          <w:bCs/>
          <w:color w:val="000000"/>
          <w:kern w:val="2"/>
          <w:sz w:val="32"/>
          <w:szCs w:val="32"/>
        </w:rPr>
        <w:t>二、2026年预算草案</w:t>
      </w:r>
    </w:p>
    <w:p w14:paraId="1430B9F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p>
    <w:p w14:paraId="5DC54BC3">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2026年是</w:t>
      </w:r>
      <w:r>
        <w:rPr>
          <w:rFonts w:hint="eastAsia" w:ascii="Times New Roman" w:eastAsia="仿宋_GB2312" w:cs="Times New Roman"/>
          <w:bCs/>
          <w:sz w:val="32"/>
          <w:szCs w:val="32"/>
        </w:rPr>
        <w:t>“</w:t>
      </w:r>
      <w:r>
        <w:rPr>
          <w:rFonts w:ascii="Times New Roman" w:eastAsia="仿宋_GB2312" w:cs="Times New Roman"/>
          <w:bCs/>
          <w:sz w:val="32"/>
          <w:szCs w:val="32"/>
        </w:rPr>
        <w:t>十五五</w:t>
      </w:r>
      <w:r>
        <w:rPr>
          <w:rFonts w:hint="eastAsia" w:ascii="Times New Roman" w:eastAsia="仿宋_GB2312" w:cs="Times New Roman"/>
          <w:bCs/>
          <w:sz w:val="32"/>
          <w:szCs w:val="32"/>
        </w:rPr>
        <w:t>”</w:t>
      </w:r>
      <w:r>
        <w:rPr>
          <w:rFonts w:ascii="Times New Roman" w:eastAsia="仿宋_GB2312" w:cs="Times New Roman"/>
          <w:bCs/>
          <w:sz w:val="32"/>
          <w:szCs w:val="32"/>
        </w:rPr>
        <w:t>开局之年，也是海南自贸港全面实施封关运作开局之年，做好预算编制和财政经济工作意义重大。要按照党中央、国务院决策部署和省委、省政府工作要求，科学研判财政收支形势，准确把握财政政策取向，稳步推进财政科学管理，妥善防范化解财政风险，为高标准建设海南自贸港筑牢财政基础。</w:t>
      </w:r>
    </w:p>
    <w:p w14:paraId="52188D6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（一）2026年财政收支形势分析。</w:t>
      </w:r>
    </w:p>
    <w:p w14:paraId="0F853DCC">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我国经济长期向好的支撑条件和基本趋势没有改变，中央继续实施更加积极的宏观政策，自贸港封关政策落地实施，人流、物流、资金流、信息流加速集聚，为海南经济发展带来充沛动能。但外部环境变化影响加深，国内供强需弱矛盾突出，消费、投资增长动力不足，重点领域风险隐患较多，相关压力传导到财政领域后，将对财政运行产生深刻影响。收入方面，自贸港政策红利释放将对收入增长带来一定支撑，但新兴产业还处于高强度投入、长周期孵化阶段，含税量低、税种总体规模较小，房地产止跌回稳基础不牢固，非税收入挖潜空间有限。支出方面，打造具有海南特色和优势的现代化产业体系需要加大投入，稳就业、保民生、促消费、扩投资等重点领域支出需求较大，</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债务还本付息等刚性支出持续增加。综合判断，2026年财政平衡压力加大，收支矛盾更加突出。我们将以改革的思维、创新的精神、务实的举措，积极应对困难挑战、稳定社会预期、提振市场信心，不断巩固拓展经济稳中向好态势。</w:t>
      </w:r>
    </w:p>
    <w:p w14:paraId="2052DD3E">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（二）2026年预算编制和财政工作的总体要求。</w:t>
      </w:r>
    </w:p>
    <w:p w14:paraId="74523982">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做好2026年预算编制和财政工作，要以习近平新时代中国特色社会主义思想为指导，深入贯彻落实党的二十大和二十届历次全会精神、中央经济工作会议精神，以及习近平总书记关于海南工作的系列重要讲话和指示批示精神，认真落实省第八次党代会、八届省委历次全会和省委经济工作会议精神，完整准确全面贯彻新发展理念，着力推动高质量发展，坚持稳中求进工作总基调，更好统筹发展和安全，以高标准建设海南自由贸易港为总抓手，紧紧围绕建设</w:t>
      </w:r>
      <w:r>
        <w:rPr>
          <w:rFonts w:hint="eastAsia" w:ascii="Times New Roman" w:eastAsia="仿宋_GB2312" w:cs="Times New Roman"/>
          <w:bCs/>
          <w:sz w:val="32"/>
          <w:szCs w:val="32"/>
        </w:rPr>
        <w:t>“</w:t>
      </w:r>
      <w:r>
        <w:rPr>
          <w:rFonts w:ascii="Times New Roman" w:eastAsia="仿宋_GB2312" w:cs="Times New Roman"/>
          <w:bCs/>
          <w:sz w:val="32"/>
          <w:szCs w:val="32"/>
        </w:rPr>
        <w:t>三区一中心</w:t>
      </w:r>
      <w:r>
        <w:rPr>
          <w:rFonts w:hint="eastAsia" w:ascii="Times New Roman" w:eastAsia="仿宋_GB2312" w:cs="Times New Roman"/>
          <w:bCs/>
          <w:sz w:val="32"/>
          <w:szCs w:val="32"/>
        </w:rPr>
        <w:t>”</w:t>
      </w:r>
      <w:r>
        <w:rPr>
          <w:rFonts w:ascii="Times New Roman" w:eastAsia="仿宋_GB2312" w:cs="Times New Roman"/>
          <w:bCs/>
          <w:sz w:val="32"/>
          <w:szCs w:val="32"/>
        </w:rPr>
        <w:t>的战略定位，锚定</w:t>
      </w:r>
      <w:r>
        <w:rPr>
          <w:rFonts w:hint="eastAsia" w:ascii="Times New Roman" w:eastAsia="仿宋_GB2312" w:cs="Times New Roman"/>
          <w:bCs/>
          <w:sz w:val="32"/>
          <w:szCs w:val="32"/>
        </w:rPr>
        <w:t>“</w:t>
      </w:r>
      <w:r>
        <w:rPr>
          <w:rFonts w:ascii="Times New Roman" w:eastAsia="仿宋_GB2312" w:cs="Times New Roman"/>
          <w:bCs/>
          <w:sz w:val="32"/>
          <w:szCs w:val="32"/>
        </w:rPr>
        <w:t>把海南自由贸易港打造成为引领我国新时代对外开放的重要门户</w:t>
      </w:r>
      <w:r>
        <w:rPr>
          <w:rFonts w:hint="eastAsia" w:ascii="Times New Roman" w:eastAsia="仿宋_GB2312" w:cs="Times New Roman"/>
          <w:bCs/>
          <w:sz w:val="32"/>
          <w:szCs w:val="32"/>
        </w:rPr>
        <w:t>”</w:t>
      </w:r>
      <w:r>
        <w:rPr>
          <w:rFonts w:ascii="Times New Roman" w:eastAsia="仿宋_GB2312" w:cs="Times New Roman"/>
          <w:bCs/>
          <w:sz w:val="32"/>
          <w:szCs w:val="32"/>
        </w:rPr>
        <w:t>战略目标，实施更加积极的财政政策，做优增量、盘活存量，着力扩内需、优结构、增动能、惠民生，着力稳就业、稳企业、稳市场、稳预期，着力推改革、强管理、防风险、增效益，促进经济平稳健康发展和社会和谐稳定，助力</w:t>
      </w:r>
      <w:r>
        <w:rPr>
          <w:rFonts w:hint="eastAsia" w:ascii="Times New Roman" w:eastAsia="仿宋_GB2312" w:cs="Times New Roman"/>
          <w:bCs/>
          <w:sz w:val="32"/>
          <w:szCs w:val="32"/>
        </w:rPr>
        <w:t>“</w:t>
      </w:r>
      <w:r>
        <w:rPr>
          <w:rFonts w:ascii="Times New Roman" w:eastAsia="仿宋_GB2312" w:cs="Times New Roman"/>
          <w:bCs/>
          <w:sz w:val="32"/>
          <w:szCs w:val="32"/>
        </w:rPr>
        <w:t>十五五</w:t>
      </w:r>
      <w:r>
        <w:rPr>
          <w:rFonts w:hint="eastAsia" w:ascii="Times New Roman" w:eastAsia="仿宋_GB2312" w:cs="Times New Roman"/>
          <w:bCs/>
          <w:sz w:val="32"/>
          <w:szCs w:val="32"/>
        </w:rPr>
        <w:t>”</w:t>
      </w:r>
      <w:r>
        <w:rPr>
          <w:rFonts w:ascii="Times New Roman" w:eastAsia="仿宋_GB2312" w:cs="Times New Roman"/>
          <w:bCs/>
          <w:sz w:val="32"/>
          <w:szCs w:val="32"/>
        </w:rPr>
        <w:t>开好局、起好步。</w:t>
      </w:r>
    </w:p>
    <w:p w14:paraId="7160129D">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按照上述总体要求，2026年预算编制和财政工作重点把握四项原则：一是加强统筹、保障重点。坚持积极取向，加大财政资源和预算统筹力度，集中财力保障省委、省政府重大决策部署落实。二是有保有压、优化结构。更深层次落实过紧日子要求，加大对现代化产业体系建设、重点民生保障等领域投入，推动更多资金投资于人。三是科学管理、提高效益。深化零基预算改革，优化政策工具组合，发挥政策集成效应，持续提升财政管理的系统化、精细化、标准化、法治化水平。四是兜牢底线、注重平衡。加强基层财政运行监测，强化县区库款逐日监测，兜牢</w:t>
      </w:r>
      <w:r>
        <w:rPr>
          <w:rFonts w:hint="eastAsia" w:ascii="Times New Roman" w:eastAsia="仿宋_GB2312" w:cs="Times New Roman"/>
          <w:bCs/>
          <w:sz w:val="32"/>
          <w:szCs w:val="32"/>
        </w:rPr>
        <w:t>“</w:t>
      </w:r>
      <w:r>
        <w:rPr>
          <w:rFonts w:ascii="Times New Roman" w:eastAsia="仿宋_GB2312" w:cs="Times New Roman"/>
          <w:bCs/>
          <w:sz w:val="32"/>
          <w:szCs w:val="32"/>
        </w:rPr>
        <w:t>三保</w:t>
      </w:r>
      <w:r>
        <w:rPr>
          <w:rFonts w:hint="eastAsia" w:ascii="Times New Roman" w:eastAsia="仿宋_GB2312" w:cs="Times New Roman"/>
          <w:bCs/>
          <w:sz w:val="32"/>
          <w:szCs w:val="32"/>
        </w:rPr>
        <w:t>”</w:t>
      </w:r>
      <w:r>
        <w:rPr>
          <w:rFonts w:ascii="Times New Roman" w:eastAsia="仿宋_GB2312" w:cs="Times New Roman"/>
          <w:bCs/>
          <w:sz w:val="32"/>
          <w:szCs w:val="32"/>
        </w:rPr>
        <w:t>底线，落实化债要求，确保年度预算收支平衡，注重跨年度预算衔接。</w:t>
      </w:r>
    </w:p>
    <w:p w14:paraId="64F09051">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shd w:val="clear" w:color="auto" w:fill="FF0000"/>
        </w:rPr>
      </w:pPr>
      <w:r>
        <w:rPr>
          <w:rFonts w:ascii="Times New Roman" w:eastAsia="楷体_GB2312" w:cs="Times New Roman"/>
          <w:bCs/>
          <w:sz w:val="32"/>
          <w:szCs w:val="32"/>
        </w:rPr>
        <w:t>（三）2026年财政重点工作。</w:t>
      </w:r>
    </w:p>
    <w:p w14:paraId="1C687BC8">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支持高标准建设自贸港</w:t>
      </w:r>
    </w:p>
    <w:p w14:paraId="2A6D30E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主动对接国际高标准经贸规则，加大制度型开放和商品要素流动型开放力度，服务国内国际双循环</w:t>
      </w:r>
      <w:bookmarkStart w:id="0" w:name="_GoBack"/>
      <w:bookmarkEnd w:id="0"/>
      <w:r>
        <w:rPr>
          <w:rFonts w:ascii="Times New Roman" w:eastAsia="仿宋_GB2312" w:cs="Times New Roman"/>
          <w:bCs/>
          <w:sz w:val="32"/>
          <w:szCs w:val="32"/>
        </w:rPr>
        <w:t>新发展格局。加快完善自贸港税制体系。争取进口征税商品目录缩减，持续提升</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水平。逐步扩大15%企业所得税享惠鼓励类产业范围，开展个人所得税3%、10%、15%三档税率改革研究，探索将所得税税收优惠政策转变为长期性的制度安排。按照稳妥有序、分步推进的原则，推动简化税制改革研究工作，根据自贸港建设发展进程适时开展测试实施。用好外经贸发展资金，推动外资外贸稳增促优。支持民航客运发展，推动海口、三亚国际综合货运枢纽和洋浦国际航运枢纽建设，拓展国际经贸合作网络，提升</w:t>
      </w:r>
      <w:r>
        <w:rPr>
          <w:rFonts w:hint="eastAsia" w:ascii="Times New Roman" w:eastAsia="仿宋_GB2312" w:cs="Times New Roman"/>
          <w:bCs/>
          <w:sz w:val="32"/>
          <w:szCs w:val="32"/>
        </w:rPr>
        <w:t>“</w:t>
      </w:r>
      <w:r>
        <w:rPr>
          <w:rFonts w:ascii="Times New Roman" w:eastAsia="仿宋_GB2312" w:cs="Times New Roman"/>
          <w:bCs/>
          <w:sz w:val="32"/>
          <w:szCs w:val="32"/>
        </w:rPr>
        <w:t>两个基地</w:t>
      </w:r>
      <w:r>
        <w:rPr>
          <w:rFonts w:hint="eastAsia" w:ascii="Times New Roman" w:eastAsia="仿宋_GB2312" w:cs="Times New Roman"/>
          <w:bCs/>
          <w:sz w:val="32"/>
          <w:szCs w:val="32"/>
        </w:rPr>
        <w:t>”“</w:t>
      </w:r>
      <w:r>
        <w:rPr>
          <w:rFonts w:ascii="Times New Roman" w:eastAsia="仿宋_GB2312" w:cs="Times New Roman"/>
          <w:bCs/>
          <w:sz w:val="32"/>
          <w:szCs w:val="32"/>
        </w:rPr>
        <w:t>两个枢纽</w:t>
      </w:r>
      <w:r>
        <w:rPr>
          <w:rFonts w:hint="eastAsia" w:ascii="Times New Roman" w:eastAsia="仿宋_GB2312" w:cs="Times New Roman"/>
          <w:bCs/>
          <w:sz w:val="32"/>
          <w:szCs w:val="32"/>
        </w:rPr>
        <w:t>”“</w:t>
      </w:r>
      <w:r>
        <w:rPr>
          <w:rFonts w:ascii="Times New Roman" w:eastAsia="仿宋_GB2312" w:cs="Times New Roman"/>
          <w:bCs/>
          <w:sz w:val="32"/>
          <w:szCs w:val="32"/>
        </w:rPr>
        <w:t>两个网络</w:t>
      </w:r>
      <w:r>
        <w:rPr>
          <w:rFonts w:hint="eastAsia" w:ascii="Times New Roman" w:eastAsia="仿宋_GB2312" w:cs="Times New Roman"/>
          <w:bCs/>
          <w:sz w:val="32"/>
          <w:szCs w:val="32"/>
        </w:rPr>
        <w:t>”</w:t>
      </w:r>
      <w:r>
        <w:rPr>
          <w:rFonts w:ascii="Times New Roman" w:eastAsia="仿宋_GB2312" w:cs="Times New Roman"/>
          <w:bCs/>
          <w:sz w:val="32"/>
          <w:szCs w:val="32"/>
        </w:rPr>
        <w:t>能级。支持建好用好反走私综合执法站、社会管理信息化平台等，为自贸港高水平开放提供安全保障。</w:t>
      </w:r>
    </w:p>
    <w:p w14:paraId="2B601027">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支持扩大有效需求</w:t>
      </w:r>
    </w:p>
    <w:p w14:paraId="04330AFA">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大力提振消费。深入实施提振消费专项行动，落实</w:t>
      </w:r>
      <w:r>
        <w:rPr>
          <w:rFonts w:hint="eastAsia" w:ascii="Times New Roman" w:eastAsia="仿宋_GB2312" w:cs="Times New Roman"/>
          <w:bCs/>
          <w:sz w:val="32"/>
          <w:szCs w:val="32"/>
        </w:rPr>
        <w:t>“</w:t>
      </w:r>
      <w:r>
        <w:rPr>
          <w:rFonts w:ascii="Times New Roman" w:eastAsia="仿宋_GB2312" w:cs="Times New Roman"/>
          <w:bCs/>
          <w:sz w:val="32"/>
          <w:szCs w:val="32"/>
        </w:rPr>
        <w:t>两新</w:t>
      </w:r>
      <w:r>
        <w:rPr>
          <w:rFonts w:hint="eastAsia" w:ascii="Times New Roman" w:eastAsia="仿宋_GB2312" w:cs="Times New Roman"/>
          <w:bCs/>
          <w:sz w:val="32"/>
          <w:szCs w:val="32"/>
        </w:rPr>
        <w:t>”</w:t>
      </w:r>
      <w:r>
        <w:rPr>
          <w:rFonts w:ascii="Times New Roman" w:eastAsia="仿宋_GB2312" w:cs="Times New Roman"/>
          <w:bCs/>
          <w:sz w:val="32"/>
          <w:szCs w:val="32"/>
        </w:rPr>
        <w:t>政策、个人消费贷款贴息及服务业经营主体贷款贴息政策，支持发展消费新业态新模式新场景，持续释放消费潜力。完善旅游消费奖补政策，扩大优质旅游商品和服务供给，持续推进国际旅游消费中心建设。办好海南岛国际电影节、第六届亚洲沙滩运动会等有影响力的文化活动和体育赛事，促进消费升级。深化落实好离岛免税政策，争取岛内居民进境消费品</w:t>
      </w:r>
      <w:r>
        <w:rPr>
          <w:rFonts w:hint="eastAsia" w:ascii="Times New Roman" w:eastAsia="仿宋_GB2312" w:cs="Times New Roman"/>
          <w:bCs/>
          <w:sz w:val="32"/>
          <w:szCs w:val="32"/>
        </w:rPr>
        <w:t>“</w:t>
      </w:r>
      <w:r>
        <w:rPr>
          <w:rFonts w:ascii="Times New Roman" w:eastAsia="仿宋_GB2312" w:cs="Times New Roman"/>
          <w:bCs/>
          <w:sz w:val="32"/>
          <w:szCs w:val="32"/>
        </w:rPr>
        <w:t>零关税</w:t>
      </w:r>
      <w:r>
        <w:rPr>
          <w:rFonts w:hint="eastAsia" w:ascii="Times New Roman" w:eastAsia="仿宋_GB2312" w:cs="Times New Roman"/>
          <w:bCs/>
          <w:sz w:val="32"/>
          <w:szCs w:val="32"/>
        </w:rPr>
        <w:t>”</w:t>
      </w:r>
      <w:r>
        <w:rPr>
          <w:rFonts w:ascii="Times New Roman" w:eastAsia="仿宋_GB2312" w:cs="Times New Roman"/>
          <w:bCs/>
          <w:sz w:val="32"/>
          <w:szCs w:val="32"/>
        </w:rPr>
        <w:t>政策尽快出台，持续拓展多元化消费新场景。</w:t>
      </w:r>
    </w:p>
    <w:p w14:paraId="3AE3F6B6">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提高投资效益。统筹用好超长期特别国债、专项债券、中央预算内投资等资金，加大对新质生产力等重点领域投入。支持加快G98环岛高速公路大三亚段扩容工程、昌化江水资源配置、牛路岭灌区、海口经济圈规模化供水工程等进度，推动基础设施提质升级。加强项目谋划储备，合理安排债券发行节奏和项目资金拨付进度，尽快形成实物工作量。</w:t>
      </w:r>
    </w:p>
    <w:p w14:paraId="22133098">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支持构建具有海南特色和优势的现代化产业体系</w:t>
      </w:r>
    </w:p>
    <w:p w14:paraId="5FF05B97">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安排35亿元，优化实施促进经济高质量发展财政措施，加强政策统筹整合，助力四大主导产业集群化发展，培育壮大</w:t>
      </w:r>
      <w:r>
        <w:rPr>
          <w:rFonts w:hint="eastAsia" w:ascii="Times New Roman" w:eastAsia="仿宋_GB2312" w:cs="Times New Roman"/>
          <w:bCs/>
          <w:sz w:val="32"/>
          <w:szCs w:val="32"/>
        </w:rPr>
        <w:t>“</w:t>
      </w:r>
      <w:r>
        <w:rPr>
          <w:rFonts w:ascii="Times New Roman" w:eastAsia="仿宋_GB2312" w:cs="Times New Roman"/>
          <w:bCs/>
          <w:sz w:val="32"/>
          <w:szCs w:val="32"/>
        </w:rPr>
        <w:t>五向图强</w:t>
      </w:r>
      <w:r>
        <w:rPr>
          <w:rFonts w:hint="eastAsia" w:ascii="Times New Roman" w:eastAsia="仿宋_GB2312" w:cs="Times New Roman"/>
          <w:bCs/>
          <w:sz w:val="32"/>
          <w:szCs w:val="32"/>
        </w:rPr>
        <w:t>”</w:t>
      </w:r>
      <w:r>
        <w:rPr>
          <w:rFonts w:ascii="Times New Roman" w:eastAsia="仿宋_GB2312" w:cs="Times New Roman"/>
          <w:bCs/>
          <w:sz w:val="32"/>
          <w:szCs w:val="32"/>
        </w:rPr>
        <w:t>特色产业链，推动生物制造、氢能、脑机接口、具身智能等未来产业落子布局。安排88亿元，支持自贸港重点园区打造产业发展核心竞争力，推动湘琼、粤琼等省际合作园区建设。加强财金联动，安排2亿元增加省融担基金注册资本金，安排5亿元有序推进自贸港建设投资基金增加注册资本金，打造政府投资基金管理、金融股权投资和金融创新服务三位一体平台，培育壮大耐心资本，争取落地一批引领性、标志性项目。安排创新企业培育资金0.9亿元，激发创新主体活力。支持降低企业用电、物流成本，增强重点产业竞争力。</w:t>
      </w:r>
    </w:p>
    <w:p w14:paraId="344AA9CB">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支持推进教育科技人才一体化发展</w:t>
      </w:r>
    </w:p>
    <w:p w14:paraId="64790611">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支持办好人民满意的教育，安排7.5亿元，保障实施中小学薄弱学校提升工程；安排2.4亿元，保障实施县域高中振兴工程。稳步提升职业学校办学条件和办学质效，调整优化高等教育布局和学科专业，强化教师队伍建设保障。支持打造科技创新高地，聚焦种业、深海、商业航天、绿色低碳、生物制造等新领域新赛道，对接国家战略科技力量，加强科研基础设施和创新平台建设，加大关键核心技术攻关力度，完善财政科技经费分配和管理使用机制，提升科技创新投入效能。优化人才支持政策，安排人才开发专项资金5.</w:t>
      </w:r>
      <w:r>
        <w:rPr>
          <w:rFonts w:ascii="Times New Roman" w:eastAsia="仿宋_GB2312" w:cs="Times New Roman"/>
          <w:bCs/>
          <w:sz w:val="32"/>
          <w:szCs w:val="32"/>
          <w:lang w:eastAsia="zh"/>
        </w:rPr>
        <w:t>3</w:t>
      </w:r>
      <w:r>
        <w:rPr>
          <w:rFonts w:ascii="Times New Roman" w:eastAsia="仿宋_GB2312" w:cs="Times New Roman"/>
          <w:bCs/>
          <w:sz w:val="32"/>
          <w:szCs w:val="32"/>
        </w:rPr>
        <w:t>亿元，保障</w:t>
      </w:r>
      <w:r>
        <w:rPr>
          <w:rFonts w:hint="eastAsia" w:ascii="Times New Roman" w:eastAsia="仿宋_GB2312" w:cs="Times New Roman"/>
          <w:bCs/>
          <w:sz w:val="32"/>
          <w:szCs w:val="32"/>
        </w:rPr>
        <w:t>“</w:t>
      </w:r>
      <w:r>
        <w:rPr>
          <w:rFonts w:ascii="Times New Roman" w:eastAsia="仿宋_GB2312" w:cs="Times New Roman"/>
          <w:bCs/>
          <w:sz w:val="32"/>
          <w:szCs w:val="32"/>
        </w:rPr>
        <w:t>四方之才</w:t>
      </w:r>
      <w:r>
        <w:rPr>
          <w:rFonts w:hint="eastAsia" w:ascii="Times New Roman" w:eastAsia="仿宋_GB2312" w:cs="Times New Roman"/>
          <w:bCs/>
          <w:sz w:val="32"/>
          <w:szCs w:val="32"/>
        </w:rPr>
        <w:t>”</w:t>
      </w:r>
      <w:r>
        <w:rPr>
          <w:rFonts w:ascii="Times New Roman" w:eastAsia="仿宋_GB2312" w:cs="Times New Roman"/>
          <w:bCs/>
          <w:sz w:val="32"/>
          <w:szCs w:val="32"/>
        </w:rPr>
        <w:t>汇聚计划、</w:t>
      </w:r>
      <w:r>
        <w:rPr>
          <w:rFonts w:hint="eastAsia" w:ascii="Times New Roman" w:eastAsia="仿宋_GB2312" w:cs="Times New Roman"/>
          <w:bCs/>
          <w:sz w:val="32"/>
          <w:szCs w:val="32"/>
        </w:rPr>
        <w:t>“</w:t>
      </w:r>
      <w:r>
        <w:rPr>
          <w:rFonts w:ascii="Times New Roman" w:eastAsia="仿宋_GB2312" w:cs="Times New Roman"/>
          <w:bCs/>
          <w:sz w:val="32"/>
          <w:szCs w:val="32"/>
        </w:rPr>
        <w:t>南海</w:t>
      </w:r>
      <w:r>
        <w:rPr>
          <w:rFonts w:hint="eastAsia" w:ascii="Times New Roman" w:eastAsia="仿宋_GB2312" w:cs="Times New Roman"/>
          <w:bCs/>
          <w:sz w:val="32"/>
          <w:szCs w:val="32"/>
        </w:rPr>
        <w:t>”</w:t>
      </w:r>
      <w:r>
        <w:rPr>
          <w:rFonts w:ascii="Times New Roman" w:eastAsia="仿宋_GB2312" w:cs="Times New Roman"/>
          <w:bCs/>
          <w:sz w:val="32"/>
          <w:szCs w:val="32"/>
        </w:rPr>
        <w:t>人才开发计划等重大人才工程实施，推动人才链与产业链、创新链深度融合。</w:t>
      </w:r>
    </w:p>
    <w:p w14:paraId="6831D43A">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支持强化区域协调发展</w:t>
      </w:r>
    </w:p>
    <w:p w14:paraId="651818BF">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优化</w:t>
      </w:r>
      <w:r>
        <w:rPr>
          <w:rFonts w:hint="eastAsia" w:ascii="Times New Roman" w:eastAsia="仿宋_GB2312" w:cs="Times New Roman"/>
          <w:bCs/>
          <w:sz w:val="32"/>
          <w:szCs w:val="32"/>
        </w:rPr>
        <w:t>“</w:t>
      </w:r>
      <w:r>
        <w:rPr>
          <w:rFonts w:ascii="Times New Roman" w:eastAsia="仿宋_GB2312" w:cs="Times New Roman"/>
          <w:bCs/>
          <w:sz w:val="32"/>
          <w:szCs w:val="32"/>
        </w:rPr>
        <w:t>三极一带一区</w:t>
      </w:r>
      <w:r>
        <w:rPr>
          <w:rFonts w:hint="eastAsia" w:ascii="Times New Roman" w:eastAsia="仿宋_GB2312" w:cs="Times New Roman"/>
          <w:bCs/>
          <w:sz w:val="32"/>
          <w:szCs w:val="32"/>
        </w:rPr>
        <w:t>”</w:t>
      </w:r>
      <w:r>
        <w:rPr>
          <w:rFonts w:ascii="Times New Roman" w:eastAsia="仿宋_GB2312" w:cs="Times New Roman"/>
          <w:bCs/>
          <w:sz w:val="32"/>
          <w:szCs w:val="32"/>
        </w:rPr>
        <w:t>发展格局，支持海口、三亚、儋州</w:t>
      </w:r>
      <w:r>
        <w:rPr>
          <w:rFonts w:hint="eastAsia" w:ascii="Times New Roman" w:eastAsia="仿宋_GB2312" w:cs="Times New Roman"/>
          <w:bCs/>
          <w:sz w:val="32"/>
          <w:szCs w:val="32"/>
        </w:rPr>
        <w:t>“</w:t>
      </w:r>
      <w:r>
        <w:rPr>
          <w:rFonts w:ascii="Times New Roman" w:eastAsia="仿宋_GB2312" w:cs="Times New Roman"/>
          <w:bCs/>
          <w:sz w:val="32"/>
          <w:szCs w:val="32"/>
        </w:rPr>
        <w:t>三极</w:t>
      </w:r>
      <w:r>
        <w:rPr>
          <w:rFonts w:hint="eastAsia" w:ascii="Times New Roman" w:eastAsia="仿宋_GB2312" w:cs="Times New Roman"/>
          <w:bCs/>
          <w:sz w:val="32"/>
          <w:szCs w:val="32"/>
        </w:rPr>
        <w:t>”</w:t>
      </w:r>
      <w:r>
        <w:rPr>
          <w:rFonts w:ascii="Times New Roman" w:eastAsia="仿宋_GB2312" w:cs="Times New Roman"/>
          <w:bCs/>
          <w:sz w:val="32"/>
          <w:szCs w:val="32"/>
        </w:rPr>
        <w:t>持续挑大梁、走在前，提升辐射带动能力；落实促进高质量发展转移支付激励机制，支持文昌、琼海、东方、澄迈、万宁成为重要经济增长极；支持探索建立</w:t>
      </w:r>
      <w:r>
        <w:rPr>
          <w:rFonts w:hint="eastAsia" w:ascii="Times New Roman" w:eastAsia="仿宋_GB2312" w:cs="Times New Roman"/>
          <w:bCs/>
          <w:sz w:val="32"/>
          <w:szCs w:val="32"/>
        </w:rPr>
        <w:t>“</w:t>
      </w:r>
      <w:r>
        <w:rPr>
          <w:rFonts w:ascii="Times New Roman" w:eastAsia="仿宋_GB2312" w:cs="Times New Roman"/>
          <w:bCs/>
          <w:sz w:val="32"/>
          <w:szCs w:val="32"/>
        </w:rPr>
        <w:t>山海协作</w:t>
      </w:r>
      <w:r>
        <w:rPr>
          <w:rFonts w:hint="eastAsia" w:ascii="Times New Roman" w:eastAsia="仿宋_GB2312" w:cs="Times New Roman"/>
          <w:bCs/>
          <w:sz w:val="32"/>
          <w:szCs w:val="32"/>
        </w:rPr>
        <w:t>”</w:t>
      </w:r>
      <w:r>
        <w:rPr>
          <w:rFonts w:ascii="Times New Roman" w:eastAsia="仿宋_GB2312" w:cs="Times New Roman"/>
          <w:bCs/>
          <w:sz w:val="32"/>
          <w:szCs w:val="32"/>
        </w:rPr>
        <w:t>模式。发挥转移支付对区域协调发展的调节作用，推动基本公共服务均等化。持续实施农业转移人口市民化奖励机制，对吸纳农业转移人口较多的市县倾斜支持。支持大力实施城市更新行动，统筹推进城中村、危旧房、城镇老旧小区改造，高质量打造</w:t>
      </w:r>
      <w:r>
        <w:rPr>
          <w:rFonts w:hint="eastAsia" w:ascii="Times New Roman" w:eastAsia="仿宋_GB2312" w:cs="Times New Roman"/>
          <w:bCs/>
          <w:sz w:val="32"/>
          <w:szCs w:val="32"/>
        </w:rPr>
        <w:t>“</w:t>
      </w:r>
      <w:r>
        <w:rPr>
          <w:rFonts w:ascii="Times New Roman" w:eastAsia="仿宋_GB2312" w:cs="Times New Roman"/>
          <w:bCs/>
          <w:sz w:val="32"/>
          <w:szCs w:val="32"/>
        </w:rPr>
        <w:t>清凉城市</w:t>
      </w:r>
      <w:r>
        <w:rPr>
          <w:rFonts w:hint="eastAsia" w:ascii="Times New Roman" w:eastAsia="仿宋_GB2312" w:cs="Times New Roman"/>
          <w:bCs/>
          <w:sz w:val="32"/>
          <w:szCs w:val="32"/>
        </w:rPr>
        <w:t>”</w:t>
      </w:r>
      <w:r>
        <w:rPr>
          <w:rFonts w:ascii="Times New Roman" w:eastAsia="仿宋_GB2312" w:cs="Times New Roman"/>
          <w:bCs/>
          <w:sz w:val="32"/>
          <w:szCs w:val="32"/>
        </w:rPr>
        <w:t>。</w:t>
      </w:r>
    </w:p>
    <w:p w14:paraId="05DCD415">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支持推进乡村全面振兴</w:t>
      </w:r>
    </w:p>
    <w:p w14:paraId="7E428642">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完善常态化帮扶制度，安排衔接推进乡村振兴补助资金28.2亿元，持续巩固拓展脱贫攻坚成果。安排12亿元，推进粮食和重要农产品稳产保供、高标准农田建设。安排18.2亿元，支持做大做强热带特色高效农业，实施</w:t>
      </w:r>
      <w:r>
        <w:rPr>
          <w:rFonts w:hint="eastAsia" w:ascii="Times New Roman" w:eastAsia="仿宋_GB2312" w:cs="Times New Roman"/>
          <w:bCs/>
          <w:sz w:val="32"/>
          <w:szCs w:val="32"/>
        </w:rPr>
        <w:t>“</w:t>
      </w:r>
      <w:r>
        <w:rPr>
          <w:rFonts w:ascii="Times New Roman" w:eastAsia="仿宋_GB2312" w:cs="Times New Roman"/>
          <w:bCs/>
          <w:sz w:val="32"/>
          <w:szCs w:val="32"/>
        </w:rPr>
        <w:t>海南鲜品</w:t>
      </w:r>
      <w:r>
        <w:rPr>
          <w:rFonts w:hint="eastAsia" w:ascii="Times New Roman" w:eastAsia="仿宋_GB2312" w:cs="Times New Roman"/>
          <w:bCs/>
          <w:sz w:val="32"/>
          <w:szCs w:val="32"/>
        </w:rPr>
        <w:t>”</w:t>
      </w:r>
      <w:r>
        <w:rPr>
          <w:rFonts w:ascii="Times New Roman" w:eastAsia="仿宋_GB2312" w:cs="Times New Roman"/>
          <w:bCs/>
          <w:sz w:val="32"/>
          <w:szCs w:val="32"/>
        </w:rPr>
        <w:t>品牌提升行动，大力发展渔业产业园和深海远海养殖。安排14.2亿元，支持垦地产业融合发展，加快补齐垦区基础设施短板，推动垦区公共服务均等化发展。安排农业保险保费补贴资金11.8亿元，推动农业保险有序扩面，保障农户收益。保障村</w:t>
      </w:r>
      <w:r>
        <w:rPr>
          <w:rFonts w:hint="eastAsia" w:ascii="Times New Roman" w:eastAsia="仿宋_GB2312" w:cs="Times New Roman"/>
          <w:bCs/>
          <w:sz w:val="32"/>
          <w:szCs w:val="32"/>
        </w:rPr>
        <w:t>“</w:t>
      </w:r>
      <w:r>
        <w:rPr>
          <w:rFonts w:ascii="Times New Roman" w:eastAsia="仿宋_GB2312" w:cs="Times New Roman"/>
          <w:bCs/>
          <w:sz w:val="32"/>
          <w:szCs w:val="32"/>
        </w:rPr>
        <w:t>两委</w:t>
      </w:r>
      <w:r>
        <w:rPr>
          <w:rFonts w:hint="eastAsia" w:ascii="Times New Roman" w:eastAsia="仿宋_GB2312" w:cs="Times New Roman"/>
          <w:bCs/>
          <w:sz w:val="32"/>
          <w:szCs w:val="32"/>
        </w:rPr>
        <w:t>”</w:t>
      </w:r>
      <w:r>
        <w:rPr>
          <w:rFonts w:ascii="Times New Roman" w:eastAsia="仿宋_GB2312" w:cs="Times New Roman"/>
          <w:bCs/>
          <w:sz w:val="32"/>
          <w:szCs w:val="32"/>
        </w:rPr>
        <w:t>干部报酬发放，支持新型农村集体经济提质增效。加强乡村基础设施和公共服务供给保障，稳步建设宜居宜业和美乡村。</w:t>
      </w:r>
    </w:p>
    <w:p w14:paraId="626D7D0B">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支持打造美丽中国样板</w:t>
      </w:r>
    </w:p>
    <w:p w14:paraId="774554CC">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完善流域横向生态保护补偿制度，推动生态保护补偿扩面提质，激发市县保护生态内生动力。支持深入打好蓝天、碧水、净土保卫战，推进新污染物治理，加大海水养殖环境资源问题整治保障力度，推动按期完成中央生态督察整改任务。支持有序推动美丽河湖、美丽海湾保护与建设，加快推进南部山水工程，保持一流生态环境。支持热带雨林国家公园、低碳岛等标志性工程建设，实现绿色低碳高质量发展。</w:t>
      </w:r>
    </w:p>
    <w:p w14:paraId="23D180E9">
      <w:pPr>
        <w:keepNext w:val="0"/>
        <w:keepLines w:val="0"/>
        <w:pageBreakBefore w:val="0"/>
        <w:widowControl w:val="0"/>
        <w:numPr>
          <w:ilvl w:val="0"/>
          <w:numId w:val="2"/>
        </w:numPr>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2"/>
        <w:rPr>
          <w:rFonts w:ascii="Times New Roman" w:eastAsia="仿宋_GB2312" w:cs="Times New Roman"/>
          <w:bCs/>
          <w:sz w:val="32"/>
          <w:szCs w:val="32"/>
        </w:rPr>
      </w:pPr>
      <w:r>
        <w:rPr>
          <w:rFonts w:ascii="Times New Roman" w:eastAsia="仿宋_GB2312" w:cs="Times New Roman"/>
          <w:bCs/>
          <w:sz w:val="32"/>
          <w:szCs w:val="32"/>
        </w:rPr>
        <w:t>支持提高人民生活品质</w:t>
      </w:r>
    </w:p>
    <w:p w14:paraId="7D141172">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坚持就业优先，落实落细稳岗返还、税费减免、就业补贴、创业贷款贴息等政策，着力解决重点群体就业创业问题。支持健全社会保障体系，安排126.6亿元，落实财政对基本养老保险基金的补助；安排9.5亿元，落实国家育儿补贴政策；保障困难群众救助、退役军人、民政事业和残疾人事业发展等社保领域支出，提升人民群众获得感、幸福感、安全感。强化医疗卫生服务保障，安排9亿元，落实基本公共卫生服务保障标准；安排6.3亿元，支持国家区域医疗中心、国家紧急医学救援基地、国家中医疫病防治基地等医疗卫生基础设施建设。支持城镇保障性安居工程建设，安排9亿元，通过保障性住房筹集、城镇老旧小区改造等多种形式，保障居民基本住房需求。支持发展文化体育事业，安排3.7亿元推进中国（海南）南海博物馆二期、省美术馆、省艺术中心等建设，支持公共文化场馆免费开放、农村公益电影放映等公共文化服务供给，推动文化强省建设。</w:t>
      </w:r>
    </w:p>
    <w:p w14:paraId="0D195527">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（四）2026年一般公共预算收入预计和支出安排。</w:t>
      </w:r>
    </w:p>
    <w:p w14:paraId="4F8BE893">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省地方一般公共预算收入930.9亿元、增长3%左右（与2025年执行数相比，下同），加上债务收入336.6亿元、中央补助收入1063亿元、动用预算稳定调节基金等449.5亿元，收入总计2780亿元。全省地方一般公共预算支出2384.1亿元、增长1.7%，加上债务还本支出292.1亿元、上解中央支出等68.1亿元，支出总计2744.3亿元。收支相抵，年终结余结转35.7亿元。</w:t>
      </w:r>
    </w:p>
    <w:p w14:paraId="0A872CBB">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地方一般公共预算收入227.5亿元、增长3%，加上债务收入336.6亿元、中央补助收入1063亿元、动用预算稳定调节基金等349.7亿元，收入总计1976.8亿元。省本级地方一般公共预算支出787.7亿元、增长9.4%，加上债务还本支出141.3亿元、补助市县支出887.3亿元、债务转贷市县支出等160亿元，支出总计1976.3亿元。收支相抵，年终结余结转0.5亿元。</w:t>
      </w:r>
    </w:p>
    <w:p w14:paraId="02E035A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（五）2026年政府性基金预算收入预计和支出安排。</w:t>
      </w:r>
    </w:p>
    <w:p w14:paraId="397F1C43">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省地方政府性基金预算收入346.5亿元、下降0.7%，加上债务收入601.9亿元、转移性收入210.9亿元，收入总计1159.3亿元。全省地方政府性基金预算支出784.2亿元、下降21.4%，加上债务还本支出326亿元、调出资金39.8亿元、安排偿债备付金0.5亿元，支出总计1150.5亿元。收支相抵，年终结余结转8.8亿元。</w:t>
      </w:r>
    </w:p>
    <w:p w14:paraId="21762791">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地方政府性基金预算收入73.6亿元、增长9.2%，加上债务收入601.9亿元、转移性收入77.3亿元，收入总计752.8亿元。省本级地方政府性基金预算支出175.6亿元、下降33.3%，加上债务还本支出59.9亿元、债务转贷支出等511.6亿元，支出总计747.1亿元。收支相抵，年终结余结转5.7亿元。</w:t>
      </w:r>
    </w:p>
    <w:p w14:paraId="05FE1829">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（六）2026年国有资本经营预算收入预计和支出安排。</w:t>
      </w:r>
    </w:p>
    <w:p w14:paraId="61166610">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全省国有资本经营预算收入6.3亿元、增长10.8%，加上转移支付收入、上年结余收入等0.1亿元，收入总计6.4亿元。全省国有资本经营预算支出4.3亿元、增长24.2%，加上调入一般公共预算2.1亿元，支出总计6.4亿元。</w:t>
      </w:r>
    </w:p>
    <w:p w14:paraId="0FC1D562">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国有资本经营预算收入3.6亿元、增长29.8%，加上转移支付收入、上年结余收入等0.1亿元，收入总计3.7亿元。省本级国有资本经营预算支出2.4亿元、增长24.3%，加上转移支付支出、调入一般公共预算等1.3亿元，支出总计3.7亿元。</w:t>
      </w:r>
    </w:p>
    <w:p w14:paraId="3DF68EF7">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（七）2026年社会保险基金预算收入预计和支出安排。</w:t>
      </w:r>
    </w:p>
    <w:p w14:paraId="41A6CD5E">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16" w:firstLineChars="200"/>
        <w:jc w:val="both"/>
        <w:textAlignment w:val="auto"/>
        <w:rPr>
          <w:rFonts w:ascii="Times New Roman" w:eastAsia="仿宋_GB2312" w:cs="Times New Roman"/>
          <w:bCs/>
          <w:spacing w:val="-6"/>
          <w:sz w:val="32"/>
          <w:szCs w:val="32"/>
        </w:rPr>
      </w:pPr>
      <w:r>
        <w:rPr>
          <w:rFonts w:ascii="Times New Roman" w:eastAsia="仿宋_GB2312" w:cs="Times New Roman"/>
          <w:bCs/>
          <w:spacing w:val="-6"/>
          <w:sz w:val="32"/>
          <w:szCs w:val="32"/>
        </w:rPr>
        <w:t>全省社会保险基金预算收入857亿元、增长6%，主要包括社会保险费收入589.4亿元、财政补贴收入222.1亿元等。全省社会保险基金预算支出717.7亿元、增长6.7%，主要包括社会保险待遇支出668.3亿元、基本养老保险全国统筹调剂资金支出33.3亿元等。本年收支结余139.3亿元，年末滚存结余1512.2亿元。</w:t>
      </w:r>
    </w:p>
    <w:p w14:paraId="65ABCD10">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社会保险基金预算收入714.4亿元、增长2.7%，主要包括社会保险费收入494.4亿元、财政补贴收入142.8亿元等。省本级社会保险基金预算支出580.6亿元、增长6.5%，主要包括社会保险待遇支出522.7亿元等。本年收支结余133.8亿元，年末滚存结余1319.6亿元。</w:t>
      </w:r>
    </w:p>
    <w:p w14:paraId="2D4458CD">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（八）2026年部门预算安排总体情况。</w:t>
      </w:r>
    </w:p>
    <w:p w14:paraId="08EC087A">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省本级共安排164个预算部门本年支出962.7亿元，其中，基本支出273.6亿元，占部门预算总支出的28.4%；项目支出689.1亿元，占部门预算总支出的71.6%。</w:t>
      </w:r>
    </w:p>
    <w:p w14:paraId="72F47E75">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（九）2026年省对市县转移支付补助情况。</w:t>
      </w:r>
    </w:p>
    <w:p w14:paraId="70C0EC82">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省对市县一般公共预算转移支付安排887.3亿元，按照预算法实施条例要求，剔除据实结算等项目后，提前下达比例为97.8%。年度执行中将根据中央对我省转移支付下达情况，继续加大对市县的支持力度，解决市县财政困难，推动财政平稳运行、均衡增长。</w:t>
      </w:r>
    </w:p>
    <w:p w14:paraId="6DBFF17A">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outlineLvl w:val="1"/>
        <w:rPr>
          <w:rFonts w:ascii="Times New Roman" w:eastAsia="楷体_GB2312" w:cs="Times New Roman"/>
          <w:bCs/>
          <w:sz w:val="32"/>
          <w:szCs w:val="32"/>
        </w:rPr>
      </w:pPr>
      <w:r>
        <w:rPr>
          <w:rFonts w:ascii="Times New Roman" w:eastAsia="楷体_GB2312" w:cs="Times New Roman"/>
          <w:bCs/>
          <w:sz w:val="32"/>
          <w:szCs w:val="32"/>
        </w:rPr>
        <w:t>（十）2026年地方政府债务安排情况。</w:t>
      </w:r>
    </w:p>
    <w:p w14:paraId="4D347CF3">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596" w:firstLineChars="200"/>
        <w:jc w:val="both"/>
        <w:textAlignment w:val="auto"/>
        <w:rPr>
          <w:rFonts w:ascii="Times New Roman" w:eastAsia="仿宋_GB2312" w:cs="Times New Roman"/>
          <w:bCs/>
          <w:spacing w:val="-11"/>
          <w:sz w:val="32"/>
          <w:szCs w:val="32"/>
        </w:rPr>
      </w:pPr>
      <w:r>
        <w:rPr>
          <w:rFonts w:ascii="Times New Roman" w:eastAsia="仿宋_GB2312" w:cs="Times New Roman"/>
          <w:bCs/>
          <w:spacing w:val="-11"/>
          <w:sz w:val="32"/>
          <w:szCs w:val="32"/>
        </w:rPr>
        <w:t>按照集中财力保障省委、省政府重点项目，优先保障成熟项目，突出绩效导向的原则，安排债券资金409.1亿元</w:t>
      </w:r>
      <w:r>
        <w:rPr>
          <w:rStyle w:val="22"/>
          <w:rFonts w:ascii="Times New Roman" w:eastAsia="仿宋" w:cs="Times New Roman"/>
          <w:bCs/>
          <w:spacing w:val="-11"/>
          <w:sz w:val="32"/>
          <w:szCs w:val="32"/>
        </w:rPr>
        <w:footnoteReference w:id="1"/>
      </w:r>
      <w:r>
        <w:rPr>
          <w:rFonts w:ascii="Times New Roman" w:eastAsia="仿宋_GB2312" w:cs="Times New Roman"/>
          <w:bCs/>
          <w:spacing w:val="-11"/>
          <w:sz w:val="32"/>
          <w:szCs w:val="32"/>
        </w:rPr>
        <w:t>，其中，省本级举借170.8亿元（含补助市县14.1亿元），转贷市县238.3亿元，主要用于交通、港口、教科文卫和园区基础设施等项目建设。</w:t>
      </w:r>
    </w:p>
    <w:p w14:paraId="4538E314">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r>
        <w:rPr>
          <w:rFonts w:ascii="Times New Roman" w:eastAsia="仿宋_GB2312" w:cs="Times New Roman"/>
          <w:bCs/>
          <w:sz w:val="32"/>
          <w:szCs w:val="32"/>
        </w:rPr>
        <w:t>根据预算法规定，预算年度开始后，在省人民代表大会批准本预算草案前，可安排下列支出：上年度结转支出；参照上年同期的预算支出数额安排必须支付的本年度部门基本支出、项目支出，以及对下级政府的转移性支出；法律规定必须履行支付义务的支出，以及用于自然灾害等突发事件处理的支出。根据上述规定，截至1月2</w:t>
      </w:r>
      <w:r>
        <w:rPr>
          <w:rFonts w:ascii="Times New Roman" w:eastAsia="仿宋_GB2312" w:cs="Times New Roman"/>
          <w:bCs/>
          <w:sz w:val="32"/>
          <w:szCs w:val="32"/>
          <w:lang w:val="en"/>
        </w:rPr>
        <w:t>3</w:t>
      </w:r>
      <w:r>
        <w:rPr>
          <w:rFonts w:ascii="Times New Roman" w:eastAsia="仿宋_GB2312" w:cs="Times New Roman"/>
          <w:bCs/>
          <w:sz w:val="32"/>
          <w:szCs w:val="32"/>
        </w:rPr>
        <w:t>日，2026年省本级预算已支出1</w:t>
      </w:r>
      <w:r>
        <w:rPr>
          <w:rFonts w:ascii="Times New Roman" w:eastAsia="仿宋_GB2312" w:cs="Times New Roman"/>
          <w:bCs/>
          <w:sz w:val="32"/>
          <w:szCs w:val="32"/>
          <w:lang w:val="en"/>
        </w:rPr>
        <w:t>7.2</w:t>
      </w:r>
      <w:r>
        <w:rPr>
          <w:rFonts w:ascii="Times New Roman" w:eastAsia="仿宋_GB2312" w:cs="Times New Roman"/>
          <w:bCs/>
          <w:sz w:val="32"/>
          <w:szCs w:val="32"/>
        </w:rPr>
        <w:t>亿元。</w:t>
      </w:r>
    </w:p>
    <w:p w14:paraId="62F4D83E">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ind w:firstLine="640" w:firstLineChars="200"/>
        <w:jc w:val="both"/>
        <w:textAlignment w:val="auto"/>
        <w:rPr>
          <w:rFonts w:ascii="Times New Roman" w:eastAsia="仿宋_GB2312" w:cs="Times New Roman"/>
          <w:bCs/>
          <w:sz w:val="32"/>
          <w:szCs w:val="32"/>
        </w:rPr>
      </w:pPr>
    </w:p>
    <w:p w14:paraId="3B2F144F">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atLeast"/>
        <w:jc w:val="center"/>
        <w:textAlignment w:val="auto"/>
        <w:rPr>
          <w:rFonts w:ascii="Times New Roman" w:eastAsia="黑体" w:cs="Times New Roman"/>
          <w:bCs/>
          <w:color w:val="000000"/>
          <w:kern w:val="2"/>
          <w:sz w:val="32"/>
          <w:szCs w:val="32"/>
        </w:rPr>
      </w:pPr>
      <w:r>
        <w:rPr>
          <w:rFonts w:ascii="Times New Roman" w:eastAsia="黑体" w:cs="Times New Roman"/>
          <w:bCs/>
          <w:color w:val="000000"/>
          <w:kern w:val="2"/>
          <w:sz w:val="32"/>
          <w:szCs w:val="32"/>
        </w:rPr>
        <w:t>三、认真做好2026年财政预算执行和管理改革工作</w:t>
      </w:r>
    </w:p>
    <w:p w14:paraId="6BF33939">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rPr>
          <w:rFonts w:ascii="Times New Roman" w:hAnsi="Times New Roman" w:eastAsia="仿宋_GB2312"/>
          <w:bCs/>
          <w:sz w:val="32"/>
          <w:szCs w:val="32"/>
        </w:rPr>
      </w:pPr>
    </w:p>
    <w:p w14:paraId="0742489E">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2026年，我们将坚决贯彻党中央决策部署和省委、省政府工作要求，落实好更加积极的财政政策，精准发力、提升效能，为推动全省高质量发展提供有力支撑。</w:t>
      </w:r>
    </w:p>
    <w:p w14:paraId="74FA044A">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outlineLvl w:val="1"/>
        <w:rPr>
          <w:rFonts w:ascii="Times New Roman" w:hAnsi="Times New Roman" w:eastAsia="楷体_GB2312"/>
          <w:bCs/>
          <w:sz w:val="32"/>
          <w:szCs w:val="32"/>
        </w:rPr>
      </w:pPr>
      <w:r>
        <w:rPr>
          <w:rFonts w:ascii="Times New Roman" w:hAnsi="Times New Roman" w:eastAsia="楷体_GB2312"/>
          <w:bCs/>
          <w:sz w:val="32"/>
          <w:szCs w:val="32"/>
        </w:rPr>
        <w:t>（一）坚持积极探索和稳健实施相结合，扎实推进自贸港财税体制改革。</w:t>
      </w:r>
    </w:p>
    <w:p w14:paraId="2AFF281E">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实施好自贸港封关税收政策，助力打造对外开放新高地。配合中央部委把握好自贸港税收政策出台节奏、力度和重点，确保</w:t>
      </w:r>
      <w:r>
        <w:rPr>
          <w:rFonts w:hint="eastAsia" w:ascii="Times New Roman" w:hAnsi="Times New Roman" w:eastAsia="仿宋_GB2312"/>
          <w:bCs/>
          <w:sz w:val="32"/>
          <w:szCs w:val="32"/>
        </w:rPr>
        <w:t>“</w:t>
      </w:r>
      <w:r>
        <w:rPr>
          <w:rFonts w:ascii="Times New Roman" w:hAnsi="Times New Roman" w:eastAsia="仿宋_GB2312"/>
          <w:bCs/>
          <w:sz w:val="32"/>
          <w:szCs w:val="32"/>
        </w:rPr>
        <w:t>零关税、低税率、简税制</w:t>
      </w:r>
      <w:r>
        <w:rPr>
          <w:rFonts w:hint="eastAsia" w:ascii="Times New Roman" w:hAnsi="Times New Roman" w:eastAsia="仿宋_GB2312"/>
          <w:bCs/>
          <w:sz w:val="32"/>
          <w:szCs w:val="32"/>
        </w:rPr>
        <w:t>”</w:t>
      </w:r>
      <w:r>
        <w:rPr>
          <w:rFonts w:ascii="Times New Roman" w:hAnsi="Times New Roman" w:eastAsia="仿宋_GB2312"/>
          <w:bCs/>
          <w:sz w:val="32"/>
          <w:szCs w:val="32"/>
        </w:rPr>
        <w:t>各项政策举措梯次衔接、平稳过渡。强化政策发布全流程管理，加大预期管理力度。全面实行零基预算改革，优化财政支出结构，将更多资金投资于人、扩大内需。稳步推进省与市县财政事权和支出责任划分，适当增强省级支出责任。完善转移支付制度，提高转移支付效能。探索推进复式预算管理改革，促进基层财政平稳运行。</w:t>
      </w:r>
    </w:p>
    <w:p w14:paraId="1B872E97">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outlineLvl w:val="1"/>
        <w:rPr>
          <w:rFonts w:ascii="Times New Roman" w:hAnsi="Times New Roman" w:eastAsia="楷体_GB2312"/>
          <w:bCs/>
          <w:sz w:val="32"/>
          <w:szCs w:val="32"/>
        </w:rPr>
      </w:pPr>
      <w:r>
        <w:rPr>
          <w:rFonts w:ascii="Times New Roman" w:hAnsi="Times New Roman" w:eastAsia="楷体_GB2312"/>
          <w:bCs/>
          <w:sz w:val="32"/>
          <w:szCs w:val="32"/>
        </w:rPr>
        <w:t>（二）坚持有力有为和精准施策相结合，以积极财政政策助力自贸港高质量发展。</w:t>
      </w:r>
    </w:p>
    <w:p w14:paraId="32C898E9">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着力培育财源税源，提升财政收入质量。紧盯国家政策机会，主动谋划、积极争取更多中央资金支持，扩大财政支出盘子，确保必要支出强度。加大产业政策资金整合力度，加强产业分析研究，分批绘制海南自贸港产业投资图谱。强化财政政策与金融政策协同，发挥自贸港基金和创新基金平台优势，完善财政支持政策体系，增强省级融资担保公司资本实力，</w:t>
      </w:r>
      <w:r>
        <w:rPr>
          <w:rFonts w:ascii="Times New Roman" w:hAnsi="Times New Roman" w:eastAsia="仿宋_GB2312"/>
          <w:sz w:val="32"/>
          <w:szCs w:val="32"/>
        </w:rPr>
        <w:t>引导金融资源更多支持促进投资、扩大内需、科技创新等重点领域，更好发挥财政资金撬动引领作用</w:t>
      </w:r>
      <w:r>
        <w:rPr>
          <w:rFonts w:ascii="Times New Roman" w:hAnsi="Times New Roman" w:eastAsia="仿宋_GB2312"/>
          <w:bCs/>
          <w:sz w:val="32"/>
          <w:szCs w:val="32"/>
        </w:rPr>
        <w:t>。</w:t>
      </w:r>
    </w:p>
    <w:p w14:paraId="16C7EFB1">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outlineLvl w:val="1"/>
        <w:rPr>
          <w:rFonts w:ascii="Times New Roman" w:hAnsi="Times New Roman" w:eastAsia="楷体_GB2312"/>
          <w:bCs/>
          <w:sz w:val="32"/>
          <w:szCs w:val="32"/>
        </w:rPr>
      </w:pPr>
      <w:r>
        <w:rPr>
          <w:rFonts w:ascii="Times New Roman" w:hAnsi="Times New Roman" w:eastAsia="楷体_GB2312"/>
          <w:bCs/>
          <w:sz w:val="32"/>
          <w:szCs w:val="32"/>
        </w:rPr>
        <w:t>（三）坚持厉行节约和效能提升相结合，持续提升财政科学管理水平。</w:t>
      </w:r>
    </w:p>
    <w:p w14:paraId="591A50D3">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坚持</w:t>
      </w:r>
      <w:r>
        <w:rPr>
          <w:rFonts w:hint="eastAsia" w:ascii="Times New Roman" w:hAnsi="Times New Roman" w:eastAsia="仿宋_GB2312"/>
          <w:bCs/>
          <w:sz w:val="32"/>
          <w:szCs w:val="32"/>
        </w:rPr>
        <w:t>“</w:t>
      </w:r>
      <w:r>
        <w:rPr>
          <w:rFonts w:ascii="Times New Roman" w:hAnsi="Times New Roman" w:eastAsia="仿宋_GB2312"/>
          <w:bCs/>
          <w:sz w:val="32"/>
          <w:szCs w:val="32"/>
        </w:rPr>
        <w:t>小钱小气、大钱大方</w:t>
      </w:r>
      <w:r>
        <w:rPr>
          <w:rFonts w:hint="eastAsia" w:ascii="Times New Roman" w:hAnsi="Times New Roman" w:eastAsia="仿宋_GB2312"/>
          <w:bCs/>
          <w:sz w:val="32"/>
          <w:szCs w:val="32"/>
        </w:rPr>
        <w:t>”</w:t>
      </w:r>
      <w:r>
        <w:rPr>
          <w:rFonts w:ascii="Times New Roman" w:hAnsi="Times New Roman" w:eastAsia="仿宋_GB2312"/>
          <w:bCs/>
          <w:sz w:val="32"/>
          <w:szCs w:val="32"/>
        </w:rPr>
        <w:t>，建立健全增收节支机制，严格落实党政机关过紧日子要求。在全省范围内推广国有资产</w:t>
      </w:r>
      <w:r>
        <w:rPr>
          <w:rFonts w:hint="eastAsia" w:ascii="Times New Roman" w:hAnsi="Times New Roman" w:eastAsia="仿宋_GB2312"/>
          <w:bCs/>
          <w:sz w:val="32"/>
          <w:szCs w:val="32"/>
        </w:rPr>
        <w:t>“</w:t>
      </w:r>
      <w:r>
        <w:rPr>
          <w:rFonts w:ascii="Times New Roman" w:hAnsi="Times New Roman" w:eastAsia="仿宋_GB2312"/>
          <w:bCs/>
          <w:sz w:val="32"/>
          <w:szCs w:val="32"/>
        </w:rPr>
        <w:t>全覆盖、动态化、价值化</w:t>
      </w:r>
      <w:r>
        <w:rPr>
          <w:rFonts w:hint="eastAsia" w:ascii="Times New Roman" w:hAnsi="Times New Roman" w:eastAsia="仿宋_GB2312"/>
          <w:bCs/>
          <w:sz w:val="32"/>
          <w:szCs w:val="32"/>
        </w:rPr>
        <w:t>”</w:t>
      </w:r>
      <w:r>
        <w:rPr>
          <w:rFonts w:ascii="Times New Roman" w:hAnsi="Times New Roman" w:eastAsia="仿宋_GB2312"/>
          <w:bCs/>
          <w:sz w:val="32"/>
          <w:szCs w:val="32"/>
        </w:rPr>
        <w:t>管理模式，</w:t>
      </w:r>
      <w:r>
        <w:rPr>
          <w:rFonts w:ascii="Times New Roman" w:hAnsi="Times New Roman" w:eastAsia="仿宋_GB2312"/>
          <w:sz w:val="32"/>
          <w:szCs w:val="32"/>
        </w:rPr>
        <w:t>提升资产管理效能</w:t>
      </w:r>
      <w:r>
        <w:rPr>
          <w:rFonts w:ascii="Times New Roman" w:hAnsi="Times New Roman" w:eastAsia="仿宋_GB2312"/>
          <w:bCs/>
          <w:sz w:val="32"/>
          <w:szCs w:val="32"/>
        </w:rPr>
        <w:t>。落实国有资产报告制度，规范健全国有资产管理。优化事前绩效评估管理机制，加强绩效目标审核管理，聚焦重点开展绩效评价，建立健全绩效管理结果运用制度体系，积极推进政府收入绩效管理试点工作。助力深化行权数字化</w:t>
      </w:r>
      <w:r>
        <w:rPr>
          <w:rFonts w:hint="eastAsia" w:ascii="Times New Roman" w:hAnsi="Times New Roman" w:eastAsia="仿宋_GB2312"/>
          <w:bCs/>
          <w:sz w:val="32"/>
          <w:szCs w:val="32"/>
        </w:rPr>
        <w:t>“</w:t>
      </w:r>
      <w:r>
        <w:rPr>
          <w:rFonts w:ascii="Times New Roman" w:hAnsi="Times New Roman" w:eastAsia="仿宋_GB2312"/>
          <w:bCs/>
          <w:sz w:val="32"/>
          <w:szCs w:val="32"/>
        </w:rPr>
        <w:t>四个一</w:t>
      </w:r>
      <w:r>
        <w:rPr>
          <w:rFonts w:hint="eastAsia" w:ascii="Times New Roman" w:hAnsi="Times New Roman" w:eastAsia="仿宋_GB2312"/>
          <w:bCs/>
          <w:sz w:val="32"/>
          <w:szCs w:val="32"/>
        </w:rPr>
        <w:t>”</w:t>
      </w:r>
      <w:r>
        <w:rPr>
          <w:rStyle w:val="22"/>
          <w:rFonts w:ascii="Times New Roman" w:hAnsi="Times New Roman" w:eastAsia="仿宋"/>
          <w:bCs/>
          <w:sz w:val="32"/>
          <w:szCs w:val="32"/>
        </w:rPr>
        <w:footnoteReference w:id="2"/>
      </w:r>
      <w:r>
        <w:rPr>
          <w:rFonts w:ascii="Times New Roman" w:hAnsi="Times New Roman" w:eastAsia="仿宋_GB2312"/>
          <w:bCs/>
          <w:sz w:val="32"/>
          <w:szCs w:val="32"/>
        </w:rPr>
        <w:t>建设，构建协同高效的政府数字化履职能力体系。</w:t>
      </w:r>
    </w:p>
    <w:p w14:paraId="7C8CA39D">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outlineLvl w:val="1"/>
        <w:rPr>
          <w:rFonts w:ascii="Times New Roman" w:hAnsi="Times New Roman" w:eastAsia="楷体_GB2312"/>
          <w:bCs/>
          <w:sz w:val="32"/>
          <w:szCs w:val="32"/>
        </w:rPr>
      </w:pPr>
      <w:r>
        <w:rPr>
          <w:rFonts w:ascii="Times New Roman" w:hAnsi="Times New Roman" w:eastAsia="楷体_GB2312"/>
          <w:bCs/>
          <w:sz w:val="32"/>
          <w:szCs w:val="32"/>
        </w:rPr>
        <w:t>（四）坚持服务发展和守牢底线相结合，不断增强财政可持续性。</w:t>
      </w:r>
    </w:p>
    <w:p w14:paraId="5F2590B0">
      <w:pPr>
        <w:pStyle w:val="17"/>
        <w:keepNext w:val="0"/>
        <w:keepLines w:val="0"/>
        <w:pageBreakBefore w:val="0"/>
        <w:widowControl w:val="0"/>
        <w:shd w:val="clear" w:color="auto" w:fill="FFFFFF"/>
        <w:kinsoku/>
        <w:wordWrap/>
        <w:overflowPunct w:val="0"/>
        <w:topLinePunct w:val="0"/>
        <w:autoSpaceDE/>
        <w:autoSpaceDN/>
        <w:bidi w:val="0"/>
        <w:adjustRightInd w:val="0"/>
        <w:snapToGrid w:val="0"/>
        <w:spacing w:after="0" w:line="600" w:lineRule="atLeast"/>
        <w:ind w:left="0" w:leftChars="0"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落实好化债方案，做实做细融资平台和隐性债务</w:t>
      </w:r>
      <w:r>
        <w:rPr>
          <w:rFonts w:hint="eastAsia" w:ascii="Times New Roman" w:hAnsi="Times New Roman" w:eastAsia="仿宋_GB2312"/>
          <w:bCs/>
          <w:sz w:val="32"/>
          <w:szCs w:val="32"/>
        </w:rPr>
        <w:t>“</w:t>
      </w:r>
      <w:r>
        <w:rPr>
          <w:rFonts w:ascii="Times New Roman" w:hAnsi="Times New Roman" w:eastAsia="仿宋_GB2312"/>
          <w:bCs/>
          <w:sz w:val="32"/>
          <w:szCs w:val="32"/>
        </w:rPr>
        <w:t>清零</w:t>
      </w:r>
      <w:r>
        <w:rPr>
          <w:rFonts w:hint="eastAsia" w:ascii="Times New Roman" w:hAnsi="Times New Roman" w:eastAsia="仿宋_GB2312"/>
          <w:bCs/>
          <w:sz w:val="32"/>
          <w:szCs w:val="32"/>
        </w:rPr>
        <w:t>”</w:t>
      </w:r>
      <w:r>
        <w:rPr>
          <w:rFonts w:ascii="Times New Roman" w:hAnsi="Times New Roman" w:eastAsia="仿宋_GB2312"/>
          <w:bCs/>
          <w:sz w:val="32"/>
          <w:szCs w:val="32"/>
        </w:rPr>
        <w:t>，坚决遏制新增隐性债务，构建同高质量发展相适应的政府债务管理长效机制。重视解决地方财政困难，强化基层财政运行动态监测，加强库款调度和应急处置，兜牢兜实基层</w:t>
      </w:r>
      <w:r>
        <w:rPr>
          <w:rFonts w:hint="eastAsia" w:ascii="Times New Roman" w:hAnsi="Times New Roman" w:eastAsia="仿宋_GB2312"/>
          <w:bCs/>
          <w:sz w:val="32"/>
          <w:szCs w:val="32"/>
        </w:rPr>
        <w:t>“</w:t>
      </w:r>
      <w:r>
        <w:rPr>
          <w:rFonts w:ascii="Times New Roman" w:hAnsi="Times New Roman" w:eastAsia="仿宋_GB2312"/>
          <w:bCs/>
          <w:sz w:val="32"/>
          <w:szCs w:val="32"/>
        </w:rPr>
        <w:t>三保</w:t>
      </w:r>
      <w:r>
        <w:rPr>
          <w:rFonts w:hint="eastAsia" w:ascii="Times New Roman" w:hAnsi="Times New Roman" w:eastAsia="仿宋_GB2312"/>
          <w:bCs/>
          <w:sz w:val="32"/>
          <w:szCs w:val="32"/>
        </w:rPr>
        <w:t>”</w:t>
      </w:r>
      <w:r>
        <w:rPr>
          <w:rFonts w:ascii="Times New Roman" w:hAnsi="Times New Roman" w:eastAsia="仿宋_GB2312"/>
          <w:bCs/>
          <w:sz w:val="32"/>
          <w:szCs w:val="32"/>
        </w:rPr>
        <w:t>底线。聚焦违反中央八项规定精神、会计和评估等重点领域问题，开展财会监督专项行动和预算执行常态化监督，深化</w:t>
      </w:r>
      <w:r>
        <w:rPr>
          <w:rFonts w:hint="eastAsia" w:ascii="Times New Roman" w:hAnsi="Times New Roman" w:eastAsia="仿宋_GB2312"/>
          <w:bCs/>
          <w:sz w:val="32"/>
          <w:szCs w:val="32"/>
        </w:rPr>
        <w:t>“</w:t>
      </w:r>
      <w:r>
        <w:rPr>
          <w:rFonts w:ascii="Times New Roman" w:hAnsi="Times New Roman" w:eastAsia="仿宋_GB2312"/>
          <w:bCs/>
          <w:sz w:val="32"/>
          <w:szCs w:val="32"/>
        </w:rPr>
        <w:t>监督一张网</w:t>
      </w:r>
      <w:r>
        <w:rPr>
          <w:rFonts w:hint="eastAsia" w:ascii="Times New Roman" w:hAnsi="Times New Roman" w:eastAsia="仿宋_GB2312"/>
          <w:bCs/>
          <w:sz w:val="32"/>
          <w:szCs w:val="32"/>
        </w:rPr>
        <w:t>”</w:t>
      </w:r>
      <w:r>
        <w:rPr>
          <w:rFonts w:ascii="Times New Roman" w:hAnsi="Times New Roman" w:eastAsia="仿宋_GB2312"/>
          <w:bCs/>
          <w:sz w:val="32"/>
          <w:szCs w:val="32"/>
        </w:rPr>
        <w:t>平台应用，提升财会监督效能。不折不扣落实中央巡视、以案促改促治等问题整改。</w:t>
      </w:r>
    </w:p>
    <w:p w14:paraId="127D5270">
      <w:pPr>
        <w:keepNext w:val="0"/>
        <w:keepLines w:val="0"/>
        <w:pageBreakBefore w:val="0"/>
        <w:widowControl w:val="0"/>
        <w:kinsoku/>
        <w:wordWrap/>
        <w:overflowPunct w:val="0"/>
        <w:topLinePunct w:val="0"/>
        <w:autoSpaceDE/>
        <w:autoSpaceDN/>
        <w:bidi w:val="0"/>
        <w:adjustRightInd w:val="0"/>
        <w:snapToGrid w:val="0"/>
        <w:spacing w:line="600" w:lineRule="atLeast"/>
        <w:ind w:firstLine="596" w:firstLineChars="200"/>
        <w:jc w:val="both"/>
        <w:textAlignment w:val="auto"/>
        <w:rPr>
          <w:rFonts w:ascii="Times New Roman" w:eastAsia="仿宋_GB2312" w:cs="Times New Roman"/>
          <w:bCs/>
          <w:spacing w:val="-11"/>
          <w:sz w:val="32"/>
          <w:szCs w:val="32"/>
        </w:rPr>
      </w:pPr>
      <w:r>
        <w:rPr>
          <w:rFonts w:ascii="Times New Roman" w:eastAsia="仿宋_GB2312" w:cs="Times New Roman"/>
          <w:bCs/>
          <w:spacing w:val="-11"/>
          <w:sz w:val="32"/>
          <w:szCs w:val="32"/>
        </w:rPr>
        <w:t>各位代表，潮平海阔，千帆竞发。我们将更加紧密团结在以习近平同志为核心的党中央周围，在省委、省政府的坚强领导下，主动接受人大监督，认真听取政协意见，锚定自贸港建设战略目标，统筹财力、防控风险，以坚实财政筑牢自贸港高质量发展根基，为打造引领我国新时代对外开放重要门户作出更大贡献。</w:t>
      </w:r>
    </w:p>
    <w:sectPr>
      <w:headerReference r:id="rId4" w:type="default"/>
      <w:footerReference r:id="rId5" w:type="default"/>
      <w:footerReference r:id="rId6" w:type="even"/>
      <w:pgSz w:w="11910" w:h="16840"/>
      <w:pgMar w:top="1928" w:right="1446" w:bottom="1644" w:left="1446" w:header="0" w:footer="113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Franklin Gothic Book">
    <w:altName w:val="DejaVu Math TeX Gyre"/>
    <w:panose1 w:val="020B0503020102020204"/>
    <w:charset w:val="00"/>
    <w:family w:val="swiss"/>
    <w:pitch w:val="default"/>
    <w:sig w:usb0="00000000" w:usb1="00000000" w:usb2="00000000" w:usb3="00000000" w:csb0="2000009F" w:csb1="DFD70000"/>
  </w:font>
  <w:font w:name="汉仪君黑-35简">
    <w:altName w:val="黑体"/>
    <w:panose1 w:val="020B0604020202020204"/>
    <w:charset w:val="86"/>
    <w:family w:val="auto"/>
    <w:pitch w:val="default"/>
    <w:sig w:usb0="00000000" w:usb1="00000000" w:usb2="00000016" w:usb3="00000000" w:csb0="2004000F" w:csb1="00000000"/>
  </w:font>
  <w:font w:name="Trebuchet MS">
    <w:panose1 w:val="020B0603020202020204"/>
    <w:charset w:val="00"/>
    <w:family w:val="swiss"/>
    <w:pitch w:val="default"/>
    <w:sig w:usb0="00000687" w:usb1="00000000" w:usb2="00000000" w:usb3="00000000" w:csb0="2000009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F242">
    <w:pPr>
      <w:pStyle w:val="1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4481D">
    <w:pPr>
      <w:pStyle w:val="1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4D7F6D0">
      <w:pPr>
        <w:pStyle w:val="14"/>
        <w:rPr>
          <w:rFonts w:hint="default" w:ascii="Times New Roman" w:hAnsi="Times New Roman" w:cs="Times New Roman"/>
          <w:sz w:val="21"/>
          <w:szCs w:val="28"/>
        </w:rPr>
      </w:pPr>
      <w:r>
        <w:rPr>
          <w:rFonts w:hint="default" w:ascii="Times New Roman" w:hAnsi="Times New Roman" w:cs="Times New Roman"/>
          <w:b w:val="0"/>
          <w:bCs w:val="0"/>
          <w:sz w:val="21"/>
          <w:szCs w:val="28"/>
        </w:rPr>
        <w:footnoteRef/>
      </w:r>
      <w:r>
        <w:rPr>
          <w:rFonts w:hint="default" w:ascii="Times New Roman" w:hAnsi="Times New Roman" w:cs="Times New Roman"/>
          <w:b w:val="0"/>
          <w:bCs w:val="0"/>
          <w:sz w:val="21"/>
          <w:szCs w:val="28"/>
        </w:rPr>
        <w:t xml:space="preserve"> </w:t>
      </w:r>
      <w:r>
        <w:rPr>
          <w:rFonts w:hint="default" w:ascii="Times New Roman" w:hAnsi="Times New Roman" w:cs="Times New Roman"/>
          <w:sz w:val="21"/>
          <w:szCs w:val="28"/>
        </w:rPr>
        <w:t>包括使用2025年新增债券额度680.3亿元（不含政府债务外贷额度1.7亿元）、2024年结转政府债务外贷额度0.6亿元。</w:t>
      </w:r>
    </w:p>
  </w:footnote>
  <w:footnote w:id="1">
    <w:p w14:paraId="3A4169B8">
      <w:pPr>
        <w:pStyle w:val="14"/>
        <w:rPr>
          <w:rFonts w:hint="default" w:ascii="Times New Roman" w:hAnsi="Times New Roman" w:cs="Times New Roman"/>
          <w:sz w:val="21"/>
          <w:szCs w:val="28"/>
        </w:rPr>
      </w:pPr>
      <w:r>
        <w:rPr>
          <w:rFonts w:hint="default" w:ascii="Times New Roman" w:hAnsi="Times New Roman" w:cs="Times New Roman"/>
          <w:sz w:val="21"/>
          <w:szCs w:val="28"/>
        </w:rPr>
        <w:footnoteRef/>
      </w:r>
      <w:r>
        <w:rPr>
          <w:rFonts w:hint="default" w:ascii="Times New Roman" w:hAnsi="Times New Roman" w:cs="Times New Roman"/>
          <w:sz w:val="21"/>
          <w:szCs w:val="28"/>
        </w:rPr>
        <w:t xml:space="preserve"> 包括财政部提前下达2026年新增债券额度409亿元和2025年结转政府债务外贷额度0.1亿元。</w:t>
      </w:r>
    </w:p>
  </w:footnote>
  <w:footnote w:id="2">
    <w:p w14:paraId="7EE6DC64">
      <w:pPr>
        <w:pStyle w:val="14"/>
        <w:rPr>
          <w:rFonts w:hint="default" w:ascii="Times New Roman" w:hAnsi="Times New Roman" w:cs="Times New Roman"/>
          <w:sz w:val="21"/>
          <w:szCs w:val="28"/>
        </w:rPr>
      </w:pPr>
      <w:r>
        <w:rPr>
          <w:rFonts w:hint="default" w:ascii="Times New Roman" w:hAnsi="Times New Roman" w:cs="Times New Roman"/>
          <w:sz w:val="21"/>
          <w:szCs w:val="28"/>
        </w:rPr>
        <w:footnoteRef/>
      </w:r>
      <w:r>
        <w:rPr>
          <w:rFonts w:hint="default" w:ascii="Times New Roman" w:hAnsi="Times New Roman" w:cs="Times New Roman"/>
          <w:sz w:val="21"/>
          <w:szCs w:val="28"/>
        </w:rPr>
        <w:t xml:space="preserve"> </w:t>
      </w:r>
      <w:r>
        <w:rPr>
          <w:rFonts w:hint="eastAsia" w:ascii="Times New Roman" w:hAnsi="Times New Roman" w:cs="Times New Roman"/>
          <w:sz w:val="21"/>
          <w:szCs w:val="28"/>
        </w:rPr>
        <w:t>“四个一”是指“投</w:t>
      </w:r>
      <w:r>
        <w:rPr>
          <w:rFonts w:hint="default" w:ascii="Times New Roman" w:hAnsi="Times New Roman" w:cs="Times New Roman"/>
          <w:sz w:val="21"/>
          <w:szCs w:val="28"/>
        </w:rPr>
        <w:t>资项目一本</w:t>
      </w:r>
      <w:r>
        <w:rPr>
          <w:rFonts w:hint="eastAsia" w:ascii="Times New Roman" w:hAnsi="Times New Roman" w:cs="Times New Roman"/>
          <w:sz w:val="21"/>
          <w:szCs w:val="28"/>
        </w:rPr>
        <w:t>账”“自然资源一张图”“监督一张网”“行权一张网”</w:t>
      </w:r>
      <w:r>
        <w:rPr>
          <w:rFonts w:hint="default" w:ascii="Times New Roman" w:hAnsi="Times New Roman" w:cs="Times New Roman"/>
          <w:sz w:val="21"/>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7B6B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space"/>
      <w:lvlText w:val="%1."/>
      <w:lvlJc w:val="left"/>
      <w:pPr>
        <w:tabs>
          <w:tab w:val="left" w:pos="0"/>
        </w:tabs>
        <w:ind w:left="0" w:firstLine="0"/>
      </w:pPr>
    </w:lvl>
  </w:abstractNum>
  <w:abstractNum w:abstractNumId="1">
    <w:nsid w:val="0053208E"/>
    <w:multiLevelType w:val="singleLevel"/>
    <w:tmpl w:val="0053208E"/>
    <w:lvl w:ilvl="0" w:tentative="0">
      <w:start w:val="1"/>
      <w:numFmt w:val="decimal"/>
      <w:suff w:val="space"/>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
  <w:drawingGridVerticalSpacing w:val="157"/>
  <w:doNotShadeFormData w:val="1"/>
  <w:noPunctuationKerning w:val="1"/>
  <w:characterSpacingControl w:val="doNotCompress"/>
  <w:footnotePr>
    <w:footnote w:id="6"/>
    <w:footnote w:id="7"/>
  </w:footnotePr>
  <w:compat>
    <w:spaceForUL/>
    <w:ulTrailSpace/>
    <w:doNotExpandShiftReturn/>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EC3EC5"/>
    <w:rsid w:val="00337626"/>
    <w:rsid w:val="00477057"/>
    <w:rsid w:val="007C575B"/>
    <w:rsid w:val="00847F28"/>
    <w:rsid w:val="009A2F6B"/>
    <w:rsid w:val="00C5186D"/>
    <w:rsid w:val="00EC3EC5"/>
    <w:rsid w:val="00F24A6F"/>
    <w:rsid w:val="00FE7B94"/>
    <w:rsid w:val="038730F8"/>
    <w:rsid w:val="04D37589"/>
    <w:rsid w:val="05A1360A"/>
    <w:rsid w:val="0A2B5D33"/>
    <w:rsid w:val="0A3F2403"/>
    <w:rsid w:val="0A4038E0"/>
    <w:rsid w:val="0DC04807"/>
    <w:rsid w:val="121B53C5"/>
    <w:rsid w:val="135C2F68"/>
    <w:rsid w:val="13D75DF6"/>
    <w:rsid w:val="15C251DC"/>
    <w:rsid w:val="1635647F"/>
    <w:rsid w:val="168D3550"/>
    <w:rsid w:val="17BD2A82"/>
    <w:rsid w:val="1AB25F58"/>
    <w:rsid w:val="1AB79ABA"/>
    <w:rsid w:val="1BE8F9A9"/>
    <w:rsid w:val="1CFD391F"/>
    <w:rsid w:val="1DCA77EF"/>
    <w:rsid w:val="1E3E3F2B"/>
    <w:rsid w:val="1F8467C0"/>
    <w:rsid w:val="21AC4ECC"/>
    <w:rsid w:val="23E33CA0"/>
    <w:rsid w:val="25163BE4"/>
    <w:rsid w:val="264C3C60"/>
    <w:rsid w:val="28944E1F"/>
    <w:rsid w:val="2AB15ADC"/>
    <w:rsid w:val="2BD58FD5"/>
    <w:rsid w:val="2C8A309F"/>
    <w:rsid w:val="2E8A57EA"/>
    <w:rsid w:val="2F9E1E2F"/>
    <w:rsid w:val="306B5D00"/>
    <w:rsid w:val="324167FF"/>
    <w:rsid w:val="33AE34E5"/>
    <w:rsid w:val="353C31F1"/>
    <w:rsid w:val="35C34243"/>
    <w:rsid w:val="363F0C04"/>
    <w:rsid w:val="37F5BFB5"/>
    <w:rsid w:val="3D7B5DE5"/>
    <w:rsid w:val="3D7E5422"/>
    <w:rsid w:val="3DAF6C9E"/>
    <w:rsid w:val="3DFF6914"/>
    <w:rsid w:val="3E0569D1"/>
    <w:rsid w:val="3EFDC5BB"/>
    <w:rsid w:val="3F036C77"/>
    <w:rsid w:val="3F472860"/>
    <w:rsid w:val="3F776FA5"/>
    <w:rsid w:val="3FB90429"/>
    <w:rsid w:val="421516F9"/>
    <w:rsid w:val="434033E5"/>
    <w:rsid w:val="43CE06CA"/>
    <w:rsid w:val="46161889"/>
    <w:rsid w:val="46D6406F"/>
    <w:rsid w:val="46E4575A"/>
    <w:rsid w:val="46F87C7E"/>
    <w:rsid w:val="47A6578C"/>
    <w:rsid w:val="48734F6C"/>
    <w:rsid w:val="48DD6B99"/>
    <w:rsid w:val="4B0A0250"/>
    <w:rsid w:val="4D6FA71C"/>
    <w:rsid w:val="4E46667C"/>
    <w:rsid w:val="4E5E049F"/>
    <w:rsid w:val="4F411D97"/>
    <w:rsid w:val="4FB97E80"/>
    <w:rsid w:val="4FBE9E7B"/>
    <w:rsid w:val="4FD7E879"/>
    <w:rsid w:val="4FF9EB4A"/>
    <w:rsid w:val="4FFD8D7E"/>
    <w:rsid w:val="4FFF689C"/>
    <w:rsid w:val="505962D0"/>
    <w:rsid w:val="519E7A26"/>
    <w:rsid w:val="51E2596D"/>
    <w:rsid w:val="55FE3424"/>
    <w:rsid w:val="56BE7FDF"/>
    <w:rsid w:val="57EE693B"/>
    <w:rsid w:val="57FDDA68"/>
    <w:rsid w:val="599C4B94"/>
    <w:rsid w:val="59E35308"/>
    <w:rsid w:val="59FDF5C3"/>
    <w:rsid w:val="59FE409A"/>
    <w:rsid w:val="5ACFFF35"/>
    <w:rsid w:val="5AFFE568"/>
    <w:rsid w:val="5B374935"/>
    <w:rsid w:val="5BDF723C"/>
    <w:rsid w:val="5BF949F3"/>
    <w:rsid w:val="5BFFB60A"/>
    <w:rsid w:val="5C9D018B"/>
    <w:rsid w:val="5DD4A4AA"/>
    <w:rsid w:val="5F7770A6"/>
    <w:rsid w:val="5FEFE6CF"/>
    <w:rsid w:val="60642034"/>
    <w:rsid w:val="61325F05"/>
    <w:rsid w:val="639962F3"/>
    <w:rsid w:val="6401034B"/>
    <w:rsid w:val="672C74D4"/>
    <w:rsid w:val="67B98A95"/>
    <w:rsid w:val="67DA506E"/>
    <w:rsid w:val="6BBE9B06"/>
    <w:rsid w:val="6BC73B27"/>
    <w:rsid w:val="6BFFB5FB"/>
    <w:rsid w:val="6CDFC682"/>
    <w:rsid w:val="6DC6512A"/>
    <w:rsid w:val="6DEF434E"/>
    <w:rsid w:val="6EF7E7AA"/>
    <w:rsid w:val="6F6EBD81"/>
    <w:rsid w:val="6FBB3ECC"/>
    <w:rsid w:val="6FBF8D25"/>
    <w:rsid w:val="6FDFBDB5"/>
    <w:rsid w:val="6FFBB731"/>
    <w:rsid w:val="73F9AF85"/>
    <w:rsid w:val="75B7D366"/>
    <w:rsid w:val="75F3725A"/>
    <w:rsid w:val="76AB9A13"/>
    <w:rsid w:val="7763BED6"/>
    <w:rsid w:val="77FF7C4D"/>
    <w:rsid w:val="77FFBCAE"/>
    <w:rsid w:val="78B9139F"/>
    <w:rsid w:val="7AF160AF"/>
    <w:rsid w:val="7B164183"/>
    <w:rsid w:val="7B7F1524"/>
    <w:rsid w:val="7BF80961"/>
    <w:rsid w:val="7BFF8E6D"/>
    <w:rsid w:val="7DBEB4C7"/>
    <w:rsid w:val="7E4D56E2"/>
    <w:rsid w:val="7E4DA523"/>
    <w:rsid w:val="7E614DCC"/>
    <w:rsid w:val="7E83657D"/>
    <w:rsid w:val="7EBF1C50"/>
    <w:rsid w:val="7EEE44EF"/>
    <w:rsid w:val="7F195802"/>
    <w:rsid w:val="7F7BF6C5"/>
    <w:rsid w:val="7F9E853A"/>
    <w:rsid w:val="7FCF4149"/>
    <w:rsid w:val="7FD5FDD3"/>
    <w:rsid w:val="7FF3F3EF"/>
    <w:rsid w:val="7FFB4D29"/>
    <w:rsid w:val="7FFEDAC6"/>
    <w:rsid w:val="8ADFD76E"/>
    <w:rsid w:val="8E7DF691"/>
    <w:rsid w:val="9BBDD4F0"/>
    <w:rsid w:val="9FEF9791"/>
    <w:rsid w:val="9FFFA67C"/>
    <w:rsid w:val="A7FB0BDB"/>
    <w:rsid w:val="AB5E4364"/>
    <w:rsid w:val="AD7D1F25"/>
    <w:rsid w:val="AFF7871A"/>
    <w:rsid w:val="B5AFFFF3"/>
    <w:rsid w:val="BB72F75E"/>
    <w:rsid w:val="BBF326C7"/>
    <w:rsid w:val="BD7FD0F8"/>
    <w:rsid w:val="BDEF5F49"/>
    <w:rsid w:val="BEFD1E96"/>
    <w:rsid w:val="BEFF41C5"/>
    <w:rsid w:val="BFBF4228"/>
    <w:rsid w:val="BFFAFCAB"/>
    <w:rsid w:val="CAFCA7F3"/>
    <w:rsid w:val="CEFFD145"/>
    <w:rsid w:val="CF63919F"/>
    <w:rsid w:val="D3F5D6B1"/>
    <w:rsid w:val="D77E7777"/>
    <w:rsid w:val="D7BF62F8"/>
    <w:rsid w:val="D7F57CA8"/>
    <w:rsid w:val="DBFF9E1C"/>
    <w:rsid w:val="DD76DB4E"/>
    <w:rsid w:val="DDAF5F8D"/>
    <w:rsid w:val="DDFEE59D"/>
    <w:rsid w:val="DEED587B"/>
    <w:rsid w:val="DF312D0E"/>
    <w:rsid w:val="DF69DB01"/>
    <w:rsid w:val="DF69F882"/>
    <w:rsid w:val="DFBE45F4"/>
    <w:rsid w:val="DFDEA27A"/>
    <w:rsid w:val="DFF92009"/>
    <w:rsid w:val="DFFF376F"/>
    <w:rsid w:val="EBFFCDB9"/>
    <w:rsid w:val="EE380515"/>
    <w:rsid w:val="EE79AA6E"/>
    <w:rsid w:val="EEDF2AC2"/>
    <w:rsid w:val="EF6D88AC"/>
    <w:rsid w:val="EF7F764C"/>
    <w:rsid w:val="EFED0031"/>
    <w:rsid w:val="EFED27B8"/>
    <w:rsid w:val="EFFDD213"/>
    <w:rsid w:val="EFFF89C1"/>
    <w:rsid w:val="F07FCB37"/>
    <w:rsid w:val="F1D7C3E4"/>
    <w:rsid w:val="F3850B31"/>
    <w:rsid w:val="F5BFC0C2"/>
    <w:rsid w:val="F5E522F3"/>
    <w:rsid w:val="F7554ED4"/>
    <w:rsid w:val="F7773465"/>
    <w:rsid w:val="F7B9930F"/>
    <w:rsid w:val="F7DF60D7"/>
    <w:rsid w:val="F7FBD0FD"/>
    <w:rsid w:val="F8BE8E48"/>
    <w:rsid w:val="FB3FD064"/>
    <w:rsid w:val="FB6B7460"/>
    <w:rsid w:val="FB75E154"/>
    <w:rsid w:val="FB81367A"/>
    <w:rsid w:val="FBBEE3FB"/>
    <w:rsid w:val="FBEFA62E"/>
    <w:rsid w:val="FBF64AF6"/>
    <w:rsid w:val="FBFED154"/>
    <w:rsid w:val="FBFF2F61"/>
    <w:rsid w:val="FDDA9BDC"/>
    <w:rsid w:val="FE17A9CA"/>
    <w:rsid w:val="FE319FD2"/>
    <w:rsid w:val="FEABB279"/>
    <w:rsid w:val="FEFB5E58"/>
    <w:rsid w:val="FEFF31E5"/>
    <w:rsid w:val="FF9DE610"/>
    <w:rsid w:val="FFFB7AA6"/>
    <w:rsid w:val="FFFFBC9D"/>
    <w:rsid w:val="FFFFF5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Times New Roman" w:eastAsia="宋体" w:cs="宋体"/>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next w:val="1"/>
    <w:qFormat/>
    <w:uiPriority w:val="0"/>
    <w:pPr>
      <w:keepNext/>
      <w:keepLines/>
      <w:widowControl w:val="0"/>
      <w:spacing w:line="360" w:lineRule="auto"/>
      <w:jc w:val="both"/>
      <w:outlineLvl w:val="1"/>
    </w:pPr>
    <w:rPr>
      <w:rFonts w:ascii="Times New Roman" w:hAnsi="Times New Roman" w:eastAsia="宋体" w:cs="Times New Roman"/>
      <w:b/>
      <w:bCs/>
      <w:kern w:val="2"/>
      <w:sz w:val="21"/>
      <w:szCs w:val="32"/>
      <w:lang w:val="en-US" w:eastAsia="zh-CN" w:bidi="ar-SA"/>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报告正文"/>
    <w:basedOn w:val="1"/>
    <w:qFormat/>
    <w:uiPriority w:val="0"/>
    <w:pPr>
      <w:ind w:firstLine="200"/>
    </w:pPr>
    <w:rPr>
      <w:rFonts w:ascii="Calibri" w:hAnsi="Calibri"/>
    </w:rPr>
  </w:style>
  <w:style w:type="paragraph" w:styleId="6">
    <w:name w:val="annotation text"/>
    <w:basedOn w:val="1"/>
    <w:qFormat/>
    <w:uiPriority w:val="0"/>
  </w:style>
  <w:style w:type="paragraph" w:styleId="7">
    <w:name w:val="Salutation"/>
    <w:next w:val="1"/>
    <w:qFormat/>
    <w:uiPriority w:val="0"/>
    <w:pPr>
      <w:widowControl w:val="0"/>
      <w:spacing w:line="578" w:lineRule="exact"/>
      <w:ind w:firstLine="200" w:firstLineChars="200"/>
      <w:jc w:val="both"/>
    </w:pPr>
    <w:rPr>
      <w:rFonts w:ascii="Times New Roman" w:hAnsi="Times New Roman" w:eastAsia="仿宋" w:cs="Times New Roman"/>
      <w:kern w:val="2"/>
      <w:sz w:val="21"/>
      <w:lang w:val="en-US" w:eastAsia="zh-CN" w:bidi="ar-SA"/>
    </w:rPr>
  </w:style>
  <w:style w:type="paragraph" w:styleId="8">
    <w:name w:val="Body Text"/>
    <w:basedOn w:val="1"/>
    <w:qFormat/>
    <w:uiPriority w:val="0"/>
    <w:rPr>
      <w:rFonts w:ascii="PMingLiU" w:hAnsi="PMingLiU" w:eastAsia="PMingLiU" w:cs="PMingLiU"/>
      <w:sz w:val="44"/>
      <w:szCs w:val="44"/>
    </w:rPr>
  </w:style>
  <w:style w:type="paragraph" w:styleId="9">
    <w:name w:val="Body Text Indent"/>
    <w:basedOn w:val="1"/>
    <w:qFormat/>
    <w:uiPriority w:val="0"/>
    <w:pPr>
      <w:spacing w:after="120"/>
      <w:ind w:left="200" w:leftChars="200"/>
    </w:pPr>
    <w:rPr>
      <w:rFonts w:ascii="Calibri" w:hAnsi="Calibri" w:cs="Times New Roman"/>
      <w:sz w:val="21"/>
    </w:rPr>
  </w:style>
  <w:style w:type="paragraph" w:styleId="10">
    <w:name w:val="Plain Text"/>
    <w:basedOn w:val="1"/>
    <w:qFormat/>
    <w:uiPriority w:val="0"/>
    <w:pPr>
      <w:spacing w:line="580" w:lineRule="exact"/>
      <w:ind w:right="-197" w:firstLine="200" w:firstLineChars="200"/>
    </w:pPr>
    <w:rPr>
      <w:rFonts w:ascii="黑体" w:eastAsia="黑体" w:cs="Cambria Math"/>
      <w:color w:val="000000"/>
      <w:sz w:val="28"/>
      <w:szCs w:val="24"/>
      <w:lang w:val="zh-TW"/>
    </w:rPr>
  </w:style>
  <w:style w:type="paragraph" w:styleId="11">
    <w:name w:val="Balloon Text"/>
    <w:basedOn w:val="1"/>
    <w:qFormat/>
    <w:uiPriority w:val="0"/>
    <w:rPr>
      <w:rFonts w:ascii="Times New Roman" w:cs="Times New Roman"/>
      <w:sz w:val="18"/>
      <w:szCs w:val="18"/>
    </w:rPr>
  </w:style>
  <w:style w:type="paragraph" w:styleId="12">
    <w:name w:val="footer"/>
    <w:basedOn w:val="1"/>
    <w:qFormat/>
    <w:uiPriority w:val="99"/>
    <w:pPr>
      <w:tabs>
        <w:tab w:val="center" w:pos="4153"/>
        <w:tab w:val="right" w:pos="8306"/>
      </w:tabs>
      <w:snapToGrid w:val="0"/>
    </w:pPr>
    <w:rPr>
      <w:rFonts w:ascii="Times New Roman" w:cs="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cs="Times New Roman"/>
      <w:sz w:val="18"/>
      <w:szCs w:val="18"/>
    </w:rPr>
  </w:style>
  <w:style w:type="paragraph" w:styleId="14">
    <w:name w:val="footnote text"/>
    <w:basedOn w:val="1"/>
    <w:qFormat/>
    <w:uiPriority w:val="0"/>
    <w:pPr>
      <w:snapToGrid w:val="0"/>
    </w:pPr>
    <w:rPr>
      <w:sz w:val="18"/>
    </w:rPr>
  </w:style>
  <w:style w:type="paragraph" w:styleId="15">
    <w:name w:val="Body Text 2"/>
    <w:basedOn w:val="1"/>
    <w:qFormat/>
    <w:uiPriority w:val="0"/>
    <w:pPr>
      <w:spacing w:after="120" w:line="480" w:lineRule="auto"/>
    </w:pPr>
    <w:rPr>
      <w:rFonts w:ascii="Arial" w:hAnsi="Arial"/>
    </w:rPr>
  </w:style>
  <w:style w:type="paragraph" w:styleId="16">
    <w:name w:val="Normal (Web)"/>
    <w:basedOn w:val="1"/>
    <w:qFormat/>
    <w:uiPriority w:val="0"/>
    <w:pPr>
      <w:spacing w:before="100" w:beforeAutospacing="1" w:after="100" w:afterAutospacing="1"/>
    </w:pPr>
    <w:rPr>
      <w:sz w:val="24"/>
    </w:rPr>
  </w:style>
  <w:style w:type="paragraph" w:styleId="17">
    <w:name w:val="Body Text First Indent 2"/>
    <w:basedOn w:val="9"/>
    <w:qFormat/>
    <w:uiPriority w:val="0"/>
    <w:pPr>
      <w:ind w:firstLine="210"/>
    </w:pPr>
  </w:style>
  <w:style w:type="character" w:styleId="20">
    <w:name w:val="Strong"/>
    <w:qFormat/>
    <w:uiPriority w:val="0"/>
    <w:rPr>
      <w:b/>
    </w:rPr>
  </w:style>
  <w:style w:type="character" w:styleId="21">
    <w:name w:val="page number"/>
    <w:qFormat/>
    <w:uiPriority w:val="0"/>
    <w:rPr>
      <w:rFonts w:ascii="Times New Roman" w:hAnsi="Times New Roman" w:eastAsia="宋体" w:cs="Times New Roman"/>
    </w:rPr>
  </w:style>
  <w:style w:type="character" w:styleId="22">
    <w:name w:val="footnote reference"/>
    <w:qFormat/>
    <w:uiPriority w:val="0"/>
    <w:rPr>
      <w:vertAlign w:val="superscript"/>
    </w:rPr>
  </w:style>
  <w:style w:type="paragraph" w:customStyle="1" w:styleId="23">
    <w:name w:val="正文1 Char Char Char"/>
    <w:basedOn w:val="1"/>
    <w:qFormat/>
    <w:uiPriority w:val="0"/>
    <w:pPr>
      <w:spacing w:line="360" w:lineRule="auto"/>
      <w:ind w:firstLine="200" w:firstLineChars="200"/>
    </w:pPr>
    <w:rPr>
      <w:rFonts w:ascii="Times New Roman" w:cs="Times New Roman"/>
    </w:rPr>
  </w:style>
  <w:style w:type="paragraph" w:customStyle="1" w:styleId="24">
    <w:name w:val="*正文"/>
    <w:basedOn w:val="1"/>
    <w:qFormat/>
    <w:uiPriority w:val="0"/>
    <w:pPr>
      <w:spacing w:line="360" w:lineRule="auto"/>
      <w:ind w:firstLine="482"/>
    </w:pPr>
    <w:rPr>
      <w:rFonts w:ascii="Times New Roman" w:cs="仿宋_GB2312"/>
      <w:sz w:val="28"/>
    </w:rPr>
  </w:style>
  <w:style w:type="character" w:customStyle="1" w:styleId="25">
    <w:name w:val="标题 #4 + 间距 2 pt1"/>
    <w:qFormat/>
    <w:uiPriority w:val="0"/>
    <w:rPr>
      <w:rFonts w:ascii="Franklin Gothic Book" w:hAnsi="Franklin Gothic Book" w:eastAsia="Franklin Gothic Book" w:cs="Franklin Gothic Book"/>
      <w:b/>
      <w:bCs/>
      <w:color w:val="000000"/>
      <w:spacing w:val="40"/>
      <w:w w:val="100"/>
      <w:position w:val="0"/>
      <w:sz w:val="28"/>
      <w:szCs w:val="28"/>
      <w:u w:val="single"/>
      <w:lang w:val="zh-TW"/>
    </w:rPr>
  </w:style>
  <w:style w:type="character" w:customStyle="1" w:styleId="26">
    <w:name w:val="正文文本 (4)1"/>
    <w:qFormat/>
    <w:uiPriority w:val="0"/>
    <w:rPr>
      <w:rFonts w:ascii="Franklin Gothic Book" w:hAnsi="Franklin Gothic Book" w:eastAsia="Franklin Gothic Book" w:cs="Franklin Gothic Book"/>
      <w:color w:val="000000"/>
      <w:spacing w:val="20"/>
      <w:w w:val="100"/>
      <w:position w:val="0"/>
      <w:sz w:val="27"/>
      <w:szCs w:val="27"/>
      <w:u w:val="single"/>
      <w:lang w:val="zh-TW"/>
    </w:rPr>
  </w:style>
  <w:style w:type="paragraph" w:customStyle="1" w:styleId="27">
    <w:name w:val="正文文本 (4)"/>
    <w:basedOn w:val="1"/>
    <w:qFormat/>
    <w:uiPriority w:val="0"/>
    <w:pPr>
      <w:shd w:val="clear" w:color="auto" w:fill="FFFFFF"/>
      <w:spacing w:line="598" w:lineRule="exact"/>
      <w:ind w:firstLine="580"/>
      <w:jc w:val="distribute"/>
    </w:pPr>
    <w:rPr>
      <w:rFonts w:ascii="Franklin Gothic Book" w:hAnsi="Franklin Gothic Book" w:eastAsia="Franklin Gothic Book" w:cs="Franklin Gothic Book"/>
      <w:color w:val="000000"/>
      <w:spacing w:val="20"/>
      <w:sz w:val="27"/>
      <w:szCs w:val="27"/>
      <w:lang w:val="zh-TW"/>
    </w:rPr>
  </w:style>
  <w:style w:type="paragraph" w:customStyle="1" w:styleId="28">
    <w:name w:val="标题 #4"/>
    <w:basedOn w:val="1"/>
    <w:qFormat/>
    <w:uiPriority w:val="0"/>
    <w:pPr>
      <w:shd w:val="clear" w:color="auto" w:fill="FFFFFF"/>
      <w:spacing w:before="1020" w:after="480" w:line="504" w:lineRule="exact"/>
      <w:outlineLvl w:val="3"/>
    </w:pPr>
    <w:rPr>
      <w:rFonts w:ascii="Franklin Gothic Book" w:hAnsi="Franklin Gothic Book" w:eastAsia="Franklin Gothic Book" w:cs="Franklin Gothic Book"/>
      <w:b/>
      <w:bCs/>
      <w:color w:val="000000"/>
      <w:sz w:val="28"/>
      <w:szCs w:val="28"/>
      <w:lang w:val="zh-TW"/>
    </w:rPr>
  </w:style>
  <w:style w:type="character" w:customStyle="1" w:styleId="29">
    <w:name w:val="正文文本 (4) + Arial Unicode MS2"/>
    <w:qFormat/>
    <w:uiPriority w:val="0"/>
    <w:rPr>
      <w:rFonts w:ascii="Trebuchet MS" w:hAnsi="Trebuchet MS" w:eastAsia="Trebuchet MS" w:cs="Trebuchet MS"/>
      <w:b/>
      <w:bCs/>
      <w:color w:val="000000"/>
      <w:spacing w:val="0"/>
      <w:w w:val="100"/>
      <w:position w:val="0"/>
      <w:sz w:val="27"/>
      <w:szCs w:val="27"/>
      <w:u w:val="none"/>
      <w:lang w:val="zh-TW"/>
    </w:rPr>
  </w:style>
  <w:style w:type="paragraph" w:customStyle="1" w:styleId="30">
    <w:name w:val="标题 #3"/>
    <w:basedOn w:val="1"/>
    <w:qFormat/>
    <w:uiPriority w:val="0"/>
    <w:pPr>
      <w:shd w:val="clear" w:color="auto" w:fill="FFFFFF"/>
      <w:spacing w:line="623" w:lineRule="exact"/>
      <w:ind w:firstLine="540"/>
      <w:jc w:val="distribute"/>
      <w:outlineLvl w:val="2"/>
    </w:pPr>
    <w:rPr>
      <w:rFonts w:ascii="Franklin Gothic Book" w:hAnsi="Franklin Gothic Book" w:eastAsia="Franklin Gothic Book" w:cs="Franklin Gothic Book"/>
      <w:b/>
      <w:bCs/>
      <w:color w:val="000000"/>
      <w:sz w:val="28"/>
      <w:szCs w:val="28"/>
      <w:lang w:val="zh-TW"/>
    </w:rPr>
  </w:style>
  <w:style w:type="character" w:customStyle="1" w:styleId="31">
    <w:name w:val="正文文本 (3)1"/>
    <w:qFormat/>
    <w:uiPriority w:val="0"/>
    <w:rPr>
      <w:rFonts w:ascii="Franklin Gothic Book" w:hAnsi="Franklin Gothic Book" w:eastAsia="Franklin Gothic Book" w:cs="Franklin Gothic Book"/>
      <w:color w:val="000000"/>
      <w:spacing w:val="20"/>
      <w:w w:val="100"/>
      <w:position w:val="0"/>
      <w:sz w:val="32"/>
      <w:szCs w:val="32"/>
      <w:u w:val="single"/>
      <w:lang w:val="zh-TW"/>
    </w:rPr>
  </w:style>
  <w:style w:type="character" w:customStyle="1" w:styleId="32">
    <w:name w:val="正文文本 + 间距 3 pt"/>
    <w:qFormat/>
    <w:uiPriority w:val="0"/>
    <w:rPr>
      <w:rFonts w:ascii="Franklin Gothic Book" w:hAnsi="Franklin Gothic Book" w:eastAsia="Franklin Gothic Book" w:cs="Franklin Gothic Book"/>
      <w:color w:val="000000"/>
      <w:spacing w:val="60"/>
      <w:w w:val="100"/>
      <w:position w:val="0"/>
      <w:sz w:val="28"/>
      <w:szCs w:val="28"/>
      <w:u w:val="none"/>
      <w:lang w:val="zh-TW"/>
    </w:rPr>
  </w:style>
  <w:style w:type="paragraph" w:customStyle="1" w:styleId="33">
    <w:name w:val="正文文本1"/>
    <w:basedOn w:val="1"/>
    <w:qFormat/>
    <w:uiPriority w:val="0"/>
    <w:pPr>
      <w:shd w:val="clear" w:color="auto" w:fill="FFFFFF"/>
      <w:spacing w:before="1020" w:line="623" w:lineRule="exact"/>
      <w:ind w:hanging="420"/>
      <w:jc w:val="distribute"/>
    </w:pPr>
    <w:rPr>
      <w:rFonts w:ascii="Franklin Gothic Book" w:hAnsi="Franklin Gothic Book" w:eastAsia="Franklin Gothic Book" w:cs="Franklin Gothic Book"/>
      <w:color w:val="000000"/>
      <w:sz w:val="28"/>
      <w:szCs w:val="28"/>
      <w:lang w:val="zh-TW"/>
    </w:rPr>
  </w:style>
  <w:style w:type="character" w:customStyle="1" w:styleId="34">
    <w:name w:val="正文文本 + Arial Unicode MS5"/>
    <w:qFormat/>
    <w:uiPriority w:val="0"/>
    <w:rPr>
      <w:rFonts w:ascii="Trebuchet MS" w:hAnsi="Trebuchet MS" w:eastAsia="Trebuchet MS" w:cs="Trebuchet MS"/>
      <w:b/>
      <w:bCs/>
      <w:color w:val="000000"/>
      <w:spacing w:val="0"/>
      <w:w w:val="100"/>
      <w:position w:val="0"/>
      <w:sz w:val="27"/>
      <w:szCs w:val="27"/>
      <w:u w:val="single"/>
      <w:lang w:val="en-US"/>
    </w:rPr>
  </w:style>
  <w:style w:type="character" w:customStyle="1" w:styleId="35">
    <w:name w:val="正文文本 (4) + 14 pt"/>
    <w:qFormat/>
    <w:uiPriority w:val="0"/>
    <w:rPr>
      <w:rFonts w:ascii="Franklin Gothic Book" w:hAnsi="Franklin Gothic Book" w:eastAsia="Franklin Gothic Book" w:cs="Franklin Gothic Book"/>
      <w:color w:val="000000"/>
      <w:spacing w:val="0"/>
      <w:w w:val="100"/>
      <w:position w:val="0"/>
      <w:sz w:val="28"/>
      <w:szCs w:val="28"/>
      <w:u w:val="single"/>
    </w:rPr>
  </w:style>
  <w:style w:type="character" w:customStyle="1" w:styleId="36">
    <w:name w:val="正文文本 (2) + 间距 2 pt"/>
    <w:qFormat/>
    <w:uiPriority w:val="0"/>
    <w:rPr>
      <w:rFonts w:ascii="Franklin Gothic Book" w:hAnsi="Franklin Gothic Book" w:eastAsia="Franklin Gothic Book" w:cs="Franklin Gothic Book"/>
      <w:b/>
      <w:bCs/>
      <w:color w:val="000000"/>
      <w:spacing w:val="40"/>
      <w:w w:val="100"/>
      <w:position w:val="0"/>
      <w:sz w:val="28"/>
      <w:szCs w:val="28"/>
      <w:u w:val="none"/>
      <w:lang w:val="zh-TW"/>
    </w:rPr>
  </w:style>
  <w:style w:type="character" w:customStyle="1" w:styleId="37">
    <w:name w:val="正文文本 + Arial Unicode MS1"/>
    <w:qFormat/>
    <w:uiPriority w:val="0"/>
    <w:rPr>
      <w:rFonts w:ascii="Trebuchet MS" w:hAnsi="Trebuchet MS" w:eastAsia="Trebuchet MS" w:cs="Trebuchet MS"/>
      <w:b/>
      <w:bCs/>
      <w:color w:val="000000"/>
      <w:spacing w:val="0"/>
      <w:w w:val="100"/>
      <w:position w:val="0"/>
      <w:sz w:val="27"/>
      <w:szCs w:val="27"/>
      <w:u w:val="none"/>
      <w:lang w:val="en-US"/>
    </w:rPr>
  </w:style>
  <w:style w:type="paragraph" w:customStyle="1" w:styleId="38">
    <w:name w:val="正文文本 (2)"/>
    <w:basedOn w:val="1"/>
    <w:qFormat/>
    <w:uiPriority w:val="0"/>
    <w:pPr>
      <w:shd w:val="clear" w:color="auto" w:fill="FFFFFF"/>
      <w:spacing w:after="960" w:line="0" w:lineRule="atLeast"/>
      <w:ind w:hanging="400"/>
    </w:pPr>
    <w:rPr>
      <w:rFonts w:ascii="Franklin Gothic Book" w:hAnsi="Franklin Gothic Book" w:eastAsia="Franklin Gothic Book" w:cs="Franklin Gothic Book"/>
      <w:b/>
      <w:bCs/>
      <w:color w:val="000000"/>
      <w:sz w:val="28"/>
      <w:szCs w:val="28"/>
      <w:lang w:val="zh-TW"/>
    </w:rPr>
  </w:style>
  <w:style w:type="paragraph" w:customStyle="1" w:styleId="39">
    <w:name w:val="标题 #2"/>
    <w:basedOn w:val="1"/>
    <w:qFormat/>
    <w:uiPriority w:val="0"/>
    <w:pPr>
      <w:shd w:val="clear" w:color="auto" w:fill="FFFFFF"/>
      <w:spacing w:after="1020" w:line="0" w:lineRule="atLeast"/>
      <w:jc w:val="center"/>
      <w:outlineLvl w:val="1"/>
    </w:pPr>
    <w:rPr>
      <w:rFonts w:ascii="Franklin Gothic Book" w:hAnsi="Franklin Gothic Book" w:eastAsia="Franklin Gothic Book" w:cs="Franklin Gothic Book"/>
      <w:color w:val="000000"/>
      <w:sz w:val="45"/>
      <w:szCs w:val="45"/>
      <w:lang w:val="zh-TW"/>
    </w:rPr>
  </w:style>
  <w:style w:type="character" w:customStyle="1" w:styleId="40">
    <w:name w:val="标题 #2 + 间距 10 pt"/>
    <w:qFormat/>
    <w:uiPriority w:val="0"/>
    <w:rPr>
      <w:rFonts w:ascii="Franklin Gothic Book" w:hAnsi="Franklin Gothic Book" w:eastAsia="Franklin Gothic Book" w:cs="Franklin Gothic Book"/>
      <w:color w:val="000000"/>
      <w:spacing w:val="210"/>
      <w:w w:val="100"/>
      <w:position w:val="0"/>
      <w:sz w:val="45"/>
      <w:szCs w:val="45"/>
      <w:u w:val="none"/>
      <w:lang w:val="zh-TW"/>
    </w:rPr>
  </w:style>
  <w:style w:type="character" w:customStyle="1" w:styleId="41">
    <w:name w:val="正文文本 + Arial Unicode MS4"/>
    <w:qFormat/>
    <w:uiPriority w:val="0"/>
    <w:rPr>
      <w:rFonts w:ascii="Trebuchet MS" w:hAnsi="Trebuchet MS" w:eastAsia="Trebuchet MS" w:cs="Trebuchet MS"/>
      <w:b/>
      <w:bCs/>
      <w:color w:val="000000"/>
      <w:spacing w:val="0"/>
      <w:w w:val="100"/>
      <w:position w:val="0"/>
      <w:sz w:val="27"/>
      <w:szCs w:val="27"/>
      <w:u w:val="single"/>
      <w:lang w:val="zh-TW"/>
    </w:rPr>
  </w:style>
  <w:style w:type="character" w:customStyle="1" w:styleId="42">
    <w:name w:val="正文文本 + Arial Unicode MS2"/>
    <w:qFormat/>
    <w:uiPriority w:val="0"/>
    <w:rPr>
      <w:rFonts w:ascii="Trebuchet MS" w:hAnsi="Trebuchet MS" w:eastAsia="Trebuchet MS" w:cs="Trebuchet MS"/>
      <w:b/>
      <w:bCs/>
      <w:color w:val="000000"/>
      <w:spacing w:val="0"/>
      <w:w w:val="100"/>
      <w:position w:val="0"/>
      <w:sz w:val="27"/>
      <w:szCs w:val="27"/>
      <w:u w:val="none"/>
      <w:lang w:val="en-US"/>
    </w:rPr>
  </w:style>
  <w:style w:type="character" w:customStyle="1" w:styleId="43">
    <w:name w:val="正文文本 + 间距 3 pt1"/>
    <w:qFormat/>
    <w:uiPriority w:val="0"/>
    <w:rPr>
      <w:rFonts w:ascii="Franklin Gothic Book" w:hAnsi="Franklin Gothic Book" w:eastAsia="Franklin Gothic Book" w:cs="Franklin Gothic Book"/>
      <w:color w:val="000000"/>
      <w:spacing w:val="60"/>
      <w:w w:val="100"/>
      <w:position w:val="0"/>
      <w:sz w:val="28"/>
      <w:szCs w:val="28"/>
      <w:u w:val="single"/>
      <w:lang w:val="zh-TW"/>
    </w:rPr>
  </w:style>
  <w:style w:type="character" w:customStyle="1" w:styleId="44">
    <w:name w:val="标题 #4 + 间距 2 pt"/>
    <w:qFormat/>
    <w:uiPriority w:val="0"/>
    <w:rPr>
      <w:rFonts w:ascii="Franklin Gothic Book" w:hAnsi="Franklin Gothic Book" w:eastAsia="Franklin Gothic Book" w:cs="Franklin Gothic Book"/>
      <w:b/>
      <w:bCs/>
      <w:color w:val="000000"/>
      <w:spacing w:val="40"/>
      <w:w w:val="100"/>
      <w:position w:val="0"/>
      <w:sz w:val="28"/>
      <w:szCs w:val="28"/>
      <w:u w:val="none"/>
      <w:lang w:val="zh-TW"/>
    </w:rPr>
  </w:style>
  <w:style w:type="paragraph" w:customStyle="1" w:styleId="45">
    <w:name w:val="正文文本 (3)"/>
    <w:basedOn w:val="1"/>
    <w:qFormat/>
    <w:uiPriority w:val="0"/>
    <w:pPr>
      <w:shd w:val="clear" w:color="auto" w:fill="FFFFFF"/>
      <w:spacing w:before="5580" w:line="814" w:lineRule="exact"/>
    </w:pPr>
    <w:rPr>
      <w:rFonts w:ascii="Franklin Gothic Book" w:hAnsi="Franklin Gothic Book" w:eastAsia="Franklin Gothic Book" w:cs="Franklin Gothic Book"/>
      <w:color w:val="000000"/>
      <w:spacing w:val="20"/>
      <w:sz w:val="32"/>
      <w:szCs w:val="32"/>
      <w:lang w:val="zh-TW"/>
    </w:rPr>
  </w:style>
  <w:style w:type="paragraph" w:customStyle="1" w:styleId="46">
    <w:name w:val="Table Paragraph"/>
    <w:basedOn w:val="1"/>
    <w:qFormat/>
    <w:uiPriority w:val="0"/>
    <w:rPr>
      <w:rFonts w:ascii="Times New Roman" w:cs="Times New Roman"/>
    </w:rPr>
  </w:style>
  <w:style w:type="paragraph" w:customStyle="1" w:styleId="47">
    <w:name w:val="列出段落1"/>
    <w:basedOn w:val="1"/>
    <w:qFormat/>
    <w:uiPriority w:val="0"/>
    <w:rPr>
      <w:rFonts w:ascii="Times New Roman" w:cs="Times New Roman"/>
    </w:rPr>
  </w:style>
  <w:style w:type="paragraph" w:customStyle="1" w:styleId="48">
    <w:name w:val="_Style 1"/>
    <w:qFormat/>
    <w:uiPriority w:val="0"/>
    <w:pPr>
      <w:widowControl w:val="0"/>
      <w:ind w:firstLine="200" w:firstLineChars="200"/>
      <w:jc w:val="both"/>
    </w:pPr>
    <w:rPr>
      <w:rFonts w:ascii="仿宋_GB2312" w:hAnsi="Times New Roman" w:eastAsia="仿宋_GB2312" w:cs="Times New Roman"/>
      <w:kern w:val="2"/>
      <w:sz w:val="32"/>
      <w:szCs w:val="24"/>
      <w:lang w:val="en-US" w:eastAsia="zh-CN" w:bidi="ar-SA"/>
    </w:rPr>
  </w:style>
  <w:style w:type="character" w:customStyle="1" w:styleId="49">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25</Pages>
  <Words>2135</Words>
  <Characters>12176</Characters>
  <Lines>101</Lines>
  <Paragraphs>28</Paragraphs>
  <TotalTime>14</TotalTime>
  <ScaleCrop>false</ScaleCrop>
  <LinksUpToDate>false</LinksUpToDate>
  <CharactersWithSpaces>14283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2025-01-14T22:24:00Z</dcterms:created>
  <dc:creator>Data</dc:creator>
  <cp:lastModifiedBy>冯世志（系统管理员）</cp:lastModifiedBy>
  <cp:lastPrinted>2026-01-23T06:56:00Z</cp:lastPrinted>
  <dcterms:modified xsi:type="dcterms:W3CDTF">2026-02-25T07:51:40Z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eyJoZGlkIjoiZjg2Mjg1YjA0MTMwZjBlZDhkMDU5OTA0MTQ3MDg0N2IiLCJ1c2VySWQiOiIzNzgzOTcyIn0=</vt:lpwstr>
  </property>
  <property fmtid="{D5CDD505-2E9C-101B-9397-08002B2CF9AE}" pid="4" name="ICV">
    <vt:lpwstr>62E8687910B46145B0947169D0276DA5</vt:lpwstr>
  </property>
</Properties>
</file>