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>
      <w:pPr>
        <w:spacing w:line="578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关于202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年海南省省级一般公共预算</w:t>
      </w:r>
    </w:p>
    <w:p>
      <w:pPr>
        <w:spacing w:line="578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收入预算的说明</w:t>
      </w:r>
    </w:p>
    <w:p>
      <w:pPr>
        <w:spacing w:line="578" w:lineRule="exact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578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年省本级一般公共预算总收入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1976.8</w:t>
      </w:r>
      <w:r>
        <w:rPr>
          <w:rFonts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执行数减少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285.6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亿元，下降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12.6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对比口径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下同，主要是中央补助收入按财政部提前下达数编列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，年度执行中还会增加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。具体构成情况如下：</w:t>
      </w:r>
    </w:p>
    <w:p>
      <w:pPr>
        <w:spacing w:line="578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年省本级一般公共预算收入预算数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227.5</w:t>
      </w:r>
      <w:r>
        <w:rPr>
          <w:rFonts w:ascii="Times New Roman" w:hAnsi="Times New Roman" w:eastAsia="仿宋_GB2312" w:cs="Times New Roman"/>
          <w:sz w:val="32"/>
          <w:szCs w:val="32"/>
        </w:rPr>
        <w:t>亿元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%，主要根据年度经济发展因素预计。</w:t>
      </w:r>
    </w:p>
    <w:p>
      <w:pPr>
        <w:numPr>
          <w:ilvl w:val="0"/>
          <w:numId w:val="0"/>
        </w:num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增值税预算数为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70.3</w:t>
      </w:r>
      <w:r>
        <w:rPr>
          <w:rFonts w:ascii="Times New Roman" w:hAnsi="Times New Roman" w:eastAsia="仿宋_GB2312" w:cs="Times New Roman"/>
          <w:sz w:val="32"/>
          <w:szCs w:val="32"/>
        </w:rPr>
        <w:t>亿元，增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</w:t>
      </w:r>
      <w:r>
        <w:rPr>
          <w:rFonts w:ascii="Times New Roman" w:hAnsi="Times New Roman" w:eastAsia="仿宋_GB2312" w:cs="Times New Roman"/>
          <w:sz w:val="32"/>
          <w:szCs w:val="32"/>
        </w:rPr>
        <w:t>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10.2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主要根据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自贸港社会经济发展趋势</w:t>
      </w:r>
      <w:r>
        <w:rPr>
          <w:rFonts w:ascii="Times New Roman" w:hAnsi="Times New Roman" w:eastAsia="仿宋_GB2312" w:cs="Times New Roman"/>
          <w:sz w:val="32"/>
          <w:szCs w:val="32"/>
        </w:rPr>
        <w:t>，房地产、工业、商业、固定资产投资等预计增长情况，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招商引资</w:t>
      </w:r>
      <w:r>
        <w:rPr>
          <w:rFonts w:ascii="Times New Roman" w:hAnsi="Times New Roman" w:eastAsia="仿宋_GB2312" w:cs="Times New Roman"/>
          <w:sz w:val="32"/>
          <w:szCs w:val="32"/>
        </w:rPr>
        <w:t>落户企业投资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结算额等因素测算。</w:t>
      </w:r>
    </w:p>
    <w:p>
      <w:pPr>
        <w:numPr>
          <w:ilvl w:val="0"/>
          <w:numId w:val="0"/>
        </w:num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企业所得税预算数为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40.4</w:t>
      </w:r>
      <w:r>
        <w:rPr>
          <w:rFonts w:ascii="Times New Roman" w:hAnsi="Times New Roman" w:eastAsia="仿宋_GB2312" w:cs="Times New Roman"/>
          <w:sz w:val="32"/>
          <w:szCs w:val="32"/>
        </w:rPr>
        <w:t>亿元，增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</w:t>
      </w:r>
      <w:r>
        <w:rPr>
          <w:rFonts w:ascii="Times New Roman" w:hAnsi="Times New Roman" w:eastAsia="仿宋_GB2312" w:cs="Times New Roman"/>
          <w:sz w:val="32"/>
          <w:szCs w:val="32"/>
        </w:rPr>
        <w:t>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11.6</w:t>
      </w:r>
      <w:r>
        <w:rPr>
          <w:rFonts w:ascii="Times New Roman" w:hAnsi="Times New Roman" w:eastAsia="仿宋_GB2312" w:cs="Times New Roman"/>
          <w:sz w:val="32"/>
          <w:szCs w:val="32"/>
        </w:rPr>
        <w:t>%，主要根据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自贸港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税收优惠政策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影响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2025-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年我省企业利润预计增长情况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，招商引资</w:t>
      </w:r>
      <w:r>
        <w:rPr>
          <w:rFonts w:ascii="Times New Roman" w:hAnsi="Times New Roman" w:eastAsia="仿宋_GB2312" w:cs="Times New Roman"/>
          <w:sz w:val="32"/>
          <w:szCs w:val="32"/>
        </w:rPr>
        <w:t>、企业落户情况等因素测算。</w:t>
      </w:r>
    </w:p>
    <w:p>
      <w:pPr>
        <w:spacing w:line="578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个人所得税预算数为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</w:t>
      </w:r>
      <w:r>
        <w:rPr>
          <w:rFonts w:ascii="Times New Roman" w:hAnsi="Times New Roman" w:eastAsia="仿宋_GB2312" w:cs="Times New Roman"/>
          <w:sz w:val="32"/>
          <w:szCs w:val="32"/>
        </w:rPr>
        <w:t>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15.2</w:t>
      </w:r>
      <w:r>
        <w:rPr>
          <w:rFonts w:ascii="Times New Roman" w:hAnsi="Times New Roman" w:eastAsia="仿宋_GB2312" w:cs="Times New Roman"/>
          <w:sz w:val="32"/>
          <w:szCs w:val="32"/>
        </w:rPr>
        <w:t>%，主要根据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自贸港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税收优惠</w:t>
      </w:r>
      <w:r>
        <w:rPr>
          <w:rFonts w:ascii="Times New Roman" w:hAnsi="Times New Roman" w:eastAsia="仿宋_GB2312" w:cs="Times New Roman"/>
          <w:sz w:val="32"/>
          <w:szCs w:val="32"/>
        </w:rPr>
        <w:t>政策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影响</w:t>
      </w:r>
      <w:r>
        <w:rPr>
          <w:rFonts w:ascii="Times New Roman" w:hAnsi="Times New Roman" w:eastAsia="仿宋_GB2312" w:cs="Times New Roman"/>
          <w:sz w:val="32"/>
          <w:szCs w:val="32"/>
        </w:rPr>
        <w:t>，居民收入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预计</w:t>
      </w:r>
      <w:r>
        <w:rPr>
          <w:rFonts w:ascii="Times New Roman" w:hAnsi="Times New Roman" w:eastAsia="仿宋_GB2312" w:cs="Times New Roman"/>
          <w:sz w:val="32"/>
          <w:szCs w:val="32"/>
        </w:rPr>
        <w:t>增长目标、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企业数量增加</w:t>
      </w:r>
      <w:r>
        <w:rPr>
          <w:rFonts w:ascii="Times New Roman" w:hAnsi="Times New Roman" w:eastAsia="仿宋_GB2312" w:cs="Times New Roman"/>
          <w:sz w:val="32"/>
          <w:szCs w:val="32"/>
        </w:rPr>
        <w:t>等因素测算。</w:t>
      </w:r>
    </w:p>
    <w:p>
      <w:pPr>
        <w:spacing w:line="578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（四）资源</w:t>
      </w:r>
      <w:r>
        <w:rPr>
          <w:rFonts w:ascii="Times New Roman" w:hAnsi="Times New Roman" w:eastAsia="仿宋_GB2312" w:cs="Times New Roman"/>
          <w:sz w:val="32"/>
          <w:szCs w:val="32"/>
        </w:rPr>
        <w:t>税预算数为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1.3</w:t>
      </w:r>
      <w:r>
        <w:rPr>
          <w:rFonts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</w:t>
      </w:r>
      <w:r>
        <w:rPr>
          <w:rFonts w:ascii="Times New Roman" w:hAnsi="Times New Roman" w:eastAsia="仿宋_GB2312" w:cs="Times New Roman"/>
          <w:sz w:val="32"/>
          <w:szCs w:val="32"/>
        </w:rPr>
        <w:t>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%，主要根据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我省开采应税矿产品等</w:t>
      </w:r>
      <w:r>
        <w:rPr>
          <w:rFonts w:ascii="Times New Roman" w:hAnsi="Times New Roman" w:eastAsia="仿宋_GB2312" w:cs="Times New Roman"/>
          <w:sz w:val="32"/>
          <w:szCs w:val="32"/>
        </w:rPr>
        <w:t>情况测算。</w:t>
      </w:r>
    </w:p>
    <w:p>
      <w:pPr>
        <w:spacing w:line="578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（五）土地增值</w:t>
      </w:r>
      <w:r>
        <w:rPr>
          <w:rFonts w:ascii="Times New Roman" w:hAnsi="Times New Roman" w:eastAsia="仿宋_GB2312" w:cs="Times New Roman"/>
          <w:sz w:val="32"/>
          <w:szCs w:val="32"/>
        </w:rPr>
        <w:t>税预算数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31.5</w:t>
      </w:r>
      <w:r>
        <w:rPr>
          <w:rFonts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增加1亿元，增长3.3%</w:t>
      </w:r>
      <w:r>
        <w:rPr>
          <w:rFonts w:ascii="Times New Roman" w:hAnsi="Times New Roman" w:eastAsia="仿宋_GB2312" w:cs="Times New Roman"/>
          <w:sz w:val="32"/>
          <w:szCs w:val="32"/>
        </w:rPr>
        <w:t>，主要根据应税房屋保有量等情况测算。</w:t>
      </w:r>
    </w:p>
    <w:p>
      <w:pPr>
        <w:spacing w:line="578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（六）</w:t>
      </w:r>
      <w:r>
        <w:rPr>
          <w:rFonts w:ascii="Times New Roman" w:hAnsi="Times New Roman" w:eastAsia="仿宋_GB2312" w:cs="Times New Roman"/>
          <w:sz w:val="32"/>
          <w:szCs w:val="32"/>
        </w:rPr>
        <w:t>专项收入预算数为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18.5</w:t>
      </w:r>
      <w:r>
        <w:rPr>
          <w:rFonts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减少4.8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下降20.5</w:t>
      </w:r>
      <w:r>
        <w:rPr>
          <w:rFonts w:ascii="Times New Roman" w:hAnsi="Times New Roman" w:eastAsia="仿宋_GB2312" w:cs="Times New Roman"/>
          <w:sz w:val="32"/>
          <w:szCs w:val="32"/>
        </w:rPr>
        <w:t>%，主要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</w:t>
      </w:r>
      <w:r>
        <w:rPr>
          <w:rFonts w:ascii="Times New Roman" w:hAnsi="Times New Roman" w:eastAsia="仿宋_GB2312" w:cs="Times New Roman"/>
          <w:sz w:val="32"/>
          <w:szCs w:val="32"/>
        </w:rPr>
        <w:t>各专项收入项目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收入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预计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情况测算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78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（七）</w:t>
      </w:r>
      <w:r>
        <w:rPr>
          <w:rFonts w:ascii="Times New Roman" w:hAnsi="Times New Roman" w:eastAsia="仿宋_GB2312" w:cs="Times New Roman"/>
          <w:sz w:val="32"/>
          <w:szCs w:val="32"/>
        </w:rPr>
        <w:t>行政事业性收费收入预算数为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增加0.1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增长0.6</w:t>
      </w:r>
      <w:r>
        <w:rPr>
          <w:rFonts w:ascii="Times New Roman" w:hAnsi="Times New Roman" w:eastAsia="仿宋_GB2312" w:cs="Times New Roman"/>
          <w:sz w:val="32"/>
          <w:szCs w:val="32"/>
        </w:rPr>
        <w:t>%，主要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</w:t>
      </w:r>
      <w:r>
        <w:rPr>
          <w:rFonts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行政事业性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收费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收入预计情况</w:t>
      </w:r>
      <w:r>
        <w:rPr>
          <w:rFonts w:ascii="Times New Roman" w:hAnsi="Times New Roman" w:eastAsia="仿宋_GB2312" w:cs="Times New Roman"/>
          <w:sz w:val="32"/>
          <w:szCs w:val="32"/>
        </w:rPr>
        <w:t>测算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78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（八）</w:t>
      </w:r>
      <w:r>
        <w:rPr>
          <w:rFonts w:ascii="Times New Roman" w:hAnsi="Times New Roman" w:eastAsia="仿宋_GB2312" w:cs="Times New Roman"/>
          <w:sz w:val="32"/>
          <w:szCs w:val="32"/>
        </w:rPr>
        <w:t>罚没收入预算数为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8.2</w:t>
      </w:r>
      <w:r>
        <w:rPr>
          <w:rFonts w:ascii="Times New Roman" w:hAnsi="Times New Roman" w:eastAsia="仿宋_GB2312" w:cs="Times New Roman"/>
          <w:sz w:val="32"/>
          <w:szCs w:val="32"/>
        </w:rPr>
        <w:t>%，主要根据公检法司等执法单位预计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收入</w:t>
      </w:r>
      <w:r>
        <w:rPr>
          <w:rFonts w:ascii="Times New Roman" w:hAnsi="Times New Roman" w:eastAsia="仿宋_GB2312" w:cs="Times New Roman"/>
          <w:sz w:val="32"/>
          <w:szCs w:val="32"/>
        </w:rPr>
        <w:t>情况测算。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（九）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国有资源（资产）有偿使用收入预算数为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减少2.3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18.8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主要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合理盘活变现存量资产、闲置和低效国有资产处置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情况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等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进行测算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78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（十）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政府住房基金</w:t>
      </w:r>
      <w:r>
        <w:rPr>
          <w:rFonts w:ascii="Times New Roman" w:hAnsi="Times New Roman" w:eastAsia="仿宋_GB2312" w:cs="Times New Roman"/>
          <w:sz w:val="32"/>
          <w:szCs w:val="32"/>
        </w:rPr>
        <w:t>收入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预算数</w:t>
      </w:r>
      <w:r>
        <w:rPr>
          <w:rFonts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减少0.4亿元，下降10.1%</w:t>
      </w:r>
      <w:r>
        <w:rPr>
          <w:rFonts w:ascii="Times New Roman" w:hAnsi="Times New Roman" w:eastAsia="仿宋_GB2312" w:cs="Times New Roman"/>
          <w:sz w:val="32"/>
          <w:szCs w:val="32"/>
        </w:rPr>
        <w:t>，主要根据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全省</w:t>
      </w:r>
      <w:r>
        <w:rPr>
          <w:rFonts w:ascii="Times New Roman" w:hAnsi="Times New Roman" w:eastAsia="仿宋_GB2312" w:cs="Times New Roman"/>
          <w:sz w:val="32"/>
          <w:szCs w:val="32"/>
        </w:rPr>
        <w:t>公积金收入以及保值增值收益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ascii="Times New Roman" w:hAnsi="Times New Roman" w:eastAsia="仿宋_GB2312" w:cs="Times New Roman"/>
          <w:sz w:val="32"/>
          <w:szCs w:val="32"/>
        </w:rPr>
        <w:t>情况测算。</w:t>
      </w:r>
    </w:p>
    <w:p>
      <w:pPr>
        <w:spacing w:line="578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（十一）</w:t>
      </w:r>
      <w:r>
        <w:rPr>
          <w:rFonts w:ascii="Times New Roman" w:hAnsi="Times New Roman" w:eastAsia="仿宋_GB2312" w:cs="Times New Roman"/>
          <w:sz w:val="32"/>
          <w:szCs w:val="32"/>
        </w:rPr>
        <w:t>其他收入预算数为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增加0.1亿元，增长10.6%</w:t>
      </w:r>
      <w:r>
        <w:rPr>
          <w:rFonts w:ascii="Times New Roman" w:hAnsi="Times New Roman" w:eastAsia="仿宋_GB2312" w:cs="Times New Roman"/>
          <w:sz w:val="32"/>
          <w:szCs w:val="32"/>
        </w:rPr>
        <w:t>，主要根据单位申报的征收计划测算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二、债务收入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336.6</w:t>
      </w:r>
      <w:r>
        <w:rPr>
          <w:rFonts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69.1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主要是财政部尚未全部下达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年度新增地方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政府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一般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债券额度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，年度执行中还会增加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spacing w:line="578" w:lineRule="exact"/>
        <w:ind w:firstLine="645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三、中央补助收入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1063</w:t>
      </w:r>
      <w:r>
        <w:rPr>
          <w:rFonts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261.7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亿元，下降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19.8</w:t>
      </w:r>
      <w:r>
        <w:rPr>
          <w:rFonts w:ascii="Times New Roman" w:hAnsi="Times New Roman" w:eastAsia="仿宋_GB2312" w:cs="Times New Roman"/>
          <w:sz w:val="32"/>
          <w:szCs w:val="32"/>
        </w:rPr>
        <w:t>%，主要是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按照财政部提前下达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我省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的补助收入数编列，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年度执行中还会增加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78" w:lineRule="exact"/>
        <w:ind w:firstLine="645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四、市县上解收入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178.7</w:t>
      </w:r>
      <w:r>
        <w:rPr>
          <w:rFonts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增加6.2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增长3.6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%，</w:t>
      </w:r>
      <w:r>
        <w:rPr>
          <w:rFonts w:ascii="Times New Roman" w:hAnsi="Times New Roman" w:eastAsia="仿宋_GB2312" w:cs="Times New Roman"/>
          <w:sz w:val="32"/>
          <w:szCs w:val="32"/>
        </w:rPr>
        <w:t>主要是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市县周转性补助一次性上解收入增加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78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五、上年结余收入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33.3</w:t>
      </w:r>
      <w:r>
        <w:rPr>
          <w:rFonts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增加1.4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增长4.5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%，</w:t>
      </w:r>
      <w:bookmarkStart w:id="0" w:name="_GoBack"/>
      <w:r>
        <w:rPr>
          <w:rFonts w:ascii="Times New Roman" w:hAnsi="Times New Roman" w:eastAsia="仿宋_GB2312" w:cs="Times New Roman"/>
          <w:sz w:val="32"/>
          <w:szCs w:val="32"/>
        </w:rPr>
        <w:t>主要是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部分中央转移支付资金下达较晚，未在2025年完成支出。</w:t>
      </w:r>
    </w:p>
    <w:bookmarkEnd w:id="0"/>
    <w:p>
      <w:pPr>
        <w:spacing w:line="578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六、调入资金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5.7</w:t>
      </w:r>
      <w:r>
        <w:rPr>
          <w:rFonts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减少0.1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亿元，下降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主要是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政府性基金预算调入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减少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FFFF00"/>
          <w:sz w:val="32"/>
          <w:szCs w:val="32"/>
        </w:rPr>
        <w:t>。</w:t>
      </w:r>
    </w:p>
    <w:p>
      <w:pPr>
        <w:spacing w:line="578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七、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动用</w:t>
      </w:r>
      <w:r>
        <w:rPr>
          <w:rFonts w:ascii="Times New Roman" w:hAnsi="Times New Roman" w:eastAsia="仿宋_GB2312" w:cs="Times New Roman"/>
          <w:sz w:val="32"/>
          <w:szCs w:val="32"/>
        </w:rPr>
        <w:t>预算稳定调节基金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132</w:t>
      </w:r>
      <w:r>
        <w:rPr>
          <w:rFonts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增加31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30.7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%，</w:t>
      </w:r>
      <w:r>
        <w:rPr>
          <w:rFonts w:ascii="Times New Roman" w:hAnsi="Times New Roman" w:eastAsia="仿宋_GB2312" w:cs="Times New Roman"/>
          <w:sz w:val="32"/>
          <w:szCs w:val="32"/>
        </w:rPr>
        <w:t>主要是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发挥预算稳定调节基金跨年度平衡作用，加大动用力度，保持必要支出强度，落实积极财政政策要求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F6"/>
    <w:rsid w:val="0018570C"/>
    <w:rsid w:val="001C00F6"/>
    <w:rsid w:val="002504BC"/>
    <w:rsid w:val="002E5BF7"/>
    <w:rsid w:val="00397203"/>
    <w:rsid w:val="00594D53"/>
    <w:rsid w:val="006161AB"/>
    <w:rsid w:val="00860F75"/>
    <w:rsid w:val="00994D7D"/>
    <w:rsid w:val="009B2E4C"/>
    <w:rsid w:val="00BB2F03"/>
    <w:rsid w:val="00BD0026"/>
    <w:rsid w:val="00C3191B"/>
    <w:rsid w:val="00DD673E"/>
    <w:rsid w:val="00E2564F"/>
    <w:rsid w:val="00EF11CD"/>
    <w:rsid w:val="00FB1903"/>
    <w:rsid w:val="07C61BFA"/>
    <w:rsid w:val="0FF69808"/>
    <w:rsid w:val="11B6553B"/>
    <w:rsid w:val="1F7CC01D"/>
    <w:rsid w:val="236C8665"/>
    <w:rsid w:val="2F7BF325"/>
    <w:rsid w:val="2FBDD075"/>
    <w:rsid w:val="3DAF2F84"/>
    <w:rsid w:val="3F7FD34B"/>
    <w:rsid w:val="3FCD83BC"/>
    <w:rsid w:val="3FFB54CC"/>
    <w:rsid w:val="42331923"/>
    <w:rsid w:val="4F5FDBE5"/>
    <w:rsid w:val="5F2E49B7"/>
    <w:rsid w:val="61F71336"/>
    <w:rsid w:val="64BE5400"/>
    <w:rsid w:val="6D7E1545"/>
    <w:rsid w:val="6DFD712B"/>
    <w:rsid w:val="6EC79C68"/>
    <w:rsid w:val="6FEF4BFD"/>
    <w:rsid w:val="76FBE832"/>
    <w:rsid w:val="779F466D"/>
    <w:rsid w:val="785DC1E3"/>
    <w:rsid w:val="7967AC7F"/>
    <w:rsid w:val="79FF4387"/>
    <w:rsid w:val="7BAB895D"/>
    <w:rsid w:val="7DBB3004"/>
    <w:rsid w:val="8DFDB7D8"/>
    <w:rsid w:val="9FBF0145"/>
    <w:rsid w:val="AAEF71F1"/>
    <w:rsid w:val="B47E17F4"/>
    <w:rsid w:val="BB7F2592"/>
    <w:rsid w:val="BCFD3D78"/>
    <w:rsid w:val="BF93AE1E"/>
    <w:rsid w:val="BFF8519E"/>
    <w:rsid w:val="C82FEA97"/>
    <w:rsid w:val="C9EE9F40"/>
    <w:rsid w:val="F62FF6C2"/>
    <w:rsid w:val="F6F49AB5"/>
    <w:rsid w:val="FAFF3FD2"/>
    <w:rsid w:val="FDFDA69E"/>
    <w:rsid w:val="FED73879"/>
    <w:rsid w:val="FF6E8904"/>
    <w:rsid w:val="FFFF7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0" w:semiHidden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2"/>
    <w:unhideWhenUsed/>
    <w:qFormat/>
    <w:uiPriority w:val="0"/>
    <w:pPr>
      <w:snapToGrid w:val="0"/>
      <w:jc w:val="left"/>
    </w:pPr>
    <w:rPr>
      <w:sz w:val="18"/>
      <w:szCs w:val="18"/>
    </w:rPr>
  </w:style>
  <w:style w:type="character" w:styleId="8">
    <w:name w:val="footnote reference"/>
    <w:basedOn w:val="7"/>
    <w:unhideWhenUsed/>
    <w:qFormat/>
    <w:uiPriority w:val="0"/>
    <w:rPr>
      <w:vertAlign w:val="superscript"/>
    </w:rPr>
  </w:style>
  <w:style w:type="character" w:customStyle="1" w:styleId="9">
    <w:name w:val="批注框文本 Char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页眉 Char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脚注文本 Char"/>
    <w:basedOn w:val="7"/>
    <w:link w:val="5"/>
    <w:semiHidden/>
    <w:qFormat/>
    <w:uiPriority w:val="0"/>
    <w:rPr>
      <w:rFonts w:ascii="Calibri" w:hAnsi="Calibri" w:cs="Calibri"/>
      <w:kern w:val="2"/>
      <w:sz w:val="18"/>
      <w:szCs w:val="18"/>
    </w:rPr>
  </w:style>
  <w:style w:type="paragraph" w:customStyle="1" w:styleId="13">
    <w:name w:val="_Style 1"/>
    <w:basedOn w:val="1"/>
    <w:qFormat/>
    <w:uiPriority w:val="0"/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1078</Words>
  <Characters>1251</Characters>
  <Lines>13</Lines>
  <Paragraphs>3</Paragraphs>
  <TotalTime>1</TotalTime>
  <ScaleCrop>false</ScaleCrop>
  <LinksUpToDate>false</LinksUpToDate>
  <CharactersWithSpaces>1261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2021-02-15T07:14:00Z</dcterms:created>
  <dc:creator>张振旺</dc:creator>
  <cp:lastModifiedBy>uos</cp:lastModifiedBy>
  <cp:lastPrinted>2025-01-25T01:35:00Z</cp:lastPrinted>
  <dcterms:modified xsi:type="dcterms:W3CDTF">2026-02-11T21:11:15Z</dcterms:modified>
  <dc:title>关于2019年海南省省级一般公共预算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KSOTemplateDocerSaveRecord">
    <vt:lpwstr>eyJoZGlkIjoiMmYzYjA3NDdlMWMxYTZkYTMxYzRhZWNlYzExYzUyZGMiLCJ1c2VySWQiOiIyNTA5NTIwNzAifQ==</vt:lpwstr>
  </property>
  <property fmtid="{D5CDD505-2E9C-101B-9397-08002B2CF9AE}" pid="4" name="ICV">
    <vt:lpwstr>FB5867787ABB901D327B8C691301357E</vt:lpwstr>
  </property>
</Properties>
</file>