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color w:val="auto"/>
          <w:sz w:val="44"/>
          <w:szCs w:val="44"/>
        </w:rPr>
      </w:pPr>
      <w:bookmarkStart w:id="127" w:name="_GoBack"/>
      <w:r>
        <w:rPr>
          <w:rFonts w:hint="eastAsia" w:asciiTheme="majorEastAsia" w:hAnsiTheme="majorEastAsia" w:eastAsiaTheme="majorEastAsia" w:cstheme="majorEastAsia"/>
          <w:b/>
          <w:bCs/>
          <w:color w:val="auto"/>
          <w:sz w:val="44"/>
          <w:szCs w:val="44"/>
        </w:rPr>
        <w:t>海南省创业投资引导基金管理委员会办公室</w:t>
      </w:r>
      <w:r>
        <w:rPr>
          <w:rFonts w:hint="default" w:asciiTheme="majorEastAsia" w:hAnsiTheme="majorEastAsia" w:eastAsiaTheme="majorEastAsia" w:cstheme="majorEastAsia"/>
          <w:b/>
          <w:bCs/>
          <w:color w:val="auto"/>
          <w:sz w:val="44"/>
          <w:szCs w:val="44"/>
          <w:lang w:val="en-US"/>
        </w:rPr>
        <w:t>2025</w:t>
      </w:r>
      <w:r>
        <w:rPr>
          <w:rFonts w:hint="eastAsia" w:asciiTheme="majorEastAsia" w:hAnsiTheme="majorEastAsia" w:eastAsiaTheme="majorEastAsia" w:cstheme="majorEastAsia"/>
          <w:b/>
          <w:bCs/>
          <w:color w:val="auto"/>
          <w:sz w:val="44"/>
          <w:szCs w:val="44"/>
        </w:rPr>
        <w:t>年度部门决算公开报告</w:t>
      </w:r>
    </w:p>
    <w:bookmarkEnd w:id="127"/>
    <w:p>
      <w:pPr>
        <w:spacing w:line="578" w:lineRule="exact"/>
        <w:jc w:val="center"/>
        <w:rPr>
          <w:rFonts w:hint="eastAsia" w:ascii="黑体" w:hAnsi="ˎ̥" w:eastAsia="黑体"/>
          <w:b/>
          <w:color w:val="auto"/>
          <w:sz w:val="32"/>
          <w:szCs w:val="32"/>
        </w:rPr>
      </w:pPr>
    </w:p>
    <w:sdt>
      <w:sdtPr>
        <w:rPr>
          <w:rFonts w:ascii="宋体" w:hAnsi="宋体" w:eastAsia="宋体" w:cs="Times New Roman"/>
          <w:kern w:val="2"/>
          <w:sz w:val="21"/>
          <w:szCs w:val="24"/>
          <w:lang w:val="en-US" w:eastAsia="zh-CN" w:bidi="ar-SA"/>
        </w:rPr>
        <w:id w:val="509162712"/>
        <w15:color w:val="DBDBDB"/>
        <w:docPartObj>
          <w:docPartGallery w:val="Table of Contents"/>
          <w:docPartUnique/>
        </w:docPartObj>
      </w:sdtPr>
      <w:sdtEndPr>
        <w:rPr>
          <w:rFonts w:hint="eastAsia" w:ascii="黑体" w:hAnsi="ˎ̥" w:eastAsia="黑体" w:cs="Times New Roman"/>
          <w:b/>
          <w:color w:val="auto"/>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sz w:val="44"/>
              <w:szCs w:val="44"/>
            </w:rPr>
          </w:pPr>
          <w:bookmarkStart w:id="0" w:name="_Toc23465_WPSOffice_Level1"/>
          <w:bookmarkStart w:id="1" w:name="_Toc22941_WPSOffice_Level1"/>
          <w:bookmarkStart w:id="2" w:name="_Toc10720_WPSOffice_Level1"/>
          <w:bookmarkStart w:id="3" w:name="_Toc32433_WPSOffice_Level1"/>
          <w:bookmarkStart w:id="4" w:name="_Toc10049_WPSOffice_Level1"/>
          <w:bookmarkStart w:id="5" w:name="_Toc24238_WPSOffice_Level2"/>
          <w:bookmarkStart w:id="6" w:name="_Toc20205_WPSOffice_Level2"/>
          <w:bookmarkStart w:id="7" w:name="_Toc14159_WPSOffice_Level2"/>
          <w:bookmarkStart w:id="8" w:name="_Toc32622_WPSOffice_Level2"/>
          <w:bookmarkStart w:id="9" w:name="_Toc26580_WPSOffice_Level2"/>
          <w:r>
            <w:rPr>
              <w:rFonts w:hint="eastAsia" w:ascii="方正黑体_GBK" w:hAnsi="方正黑体_GBK" w:eastAsia="方正黑体_GBK" w:cs="方正黑体_GBK"/>
              <w:sz w:val="44"/>
              <w:szCs w:val="44"/>
            </w:rPr>
            <w:t>目</w:t>
          </w:r>
          <w:r>
            <w:rPr>
              <w:rFonts w:hint="eastAsia" w:ascii="方正黑体_GBK" w:hAnsi="方正黑体_GBK" w:eastAsia="方正黑体_GBK" w:cs="方正黑体_GBK"/>
              <w:sz w:val="44"/>
              <w:szCs w:val="44"/>
              <w:lang w:val="en-US" w:eastAsia="zh-CN"/>
            </w:rPr>
            <w:t xml:space="preserve">  </w:t>
          </w:r>
          <w:r>
            <w:rPr>
              <w:rFonts w:hint="eastAsia" w:ascii="方正黑体_GBK" w:hAnsi="方正黑体_GBK" w:eastAsia="方正黑体_GBK" w:cs="方正黑体_GBK"/>
              <w:sz w:val="44"/>
              <w:szCs w:val="44"/>
            </w:rPr>
            <w:t>录</w:t>
          </w:r>
        </w:p>
        <w:p>
          <w:pPr>
            <w:pStyle w:val="15"/>
            <w:tabs>
              <w:tab w:val="right" w:leader="dot" w:pos="8845"/>
            </w:tabs>
            <w:rPr>
              <w:b/>
              <w:sz w:val="32"/>
              <w:szCs w:val="32"/>
            </w:rPr>
          </w:pPr>
          <w:r>
            <w:rPr>
              <w:rFonts w:hint="eastAsia" w:ascii="黑体" w:hAnsi="ˎ̥" w:eastAsia="黑体"/>
              <w:color w:val="auto"/>
              <w:sz w:val="32"/>
              <w:szCs w:val="32"/>
            </w:rPr>
            <w:fldChar w:fldCharType="begin"/>
          </w:r>
          <w:r>
            <w:rPr>
              <w:rFonts w:hint="eastAsia" w:ascii="黑体" w:hAnsi="ˎ̥" w:eastAsia="黑体"/>
              <w:color w:val="auto"/>
              <w:sz w:val="32"/>
              <w:szCs w:val="32"/>
            </w:rPr>
            <w:instrText xml:space="preserve">TOC \o "1-2" \h \u </w:instrText>
          </w:r>
          <w:r>
            <w:rPr>
              <w:rFonts w:hint="eastAsia" w:ascii="黑体" w:hAnsi="ˎ̥" w:eastAsia="黑体"/>
              <w:color w:val="auto"/>
              <w:sz w:val="32"/>
              <w:szCs w:val="32"/>
            </w:rPr>
            <w:fldChar w:fldCharType="separate"/>
          </w:r>
          <w:r>
            <w:rPr>
              <w:rFonts w:hint="eastAsia" w:ascii="黑体" w:hAnsi="ˎ̥" w:eastAsia="黑体"/>
              <w:b w:val="0"/>
              <w:bCs/>
              <w:color w:val="auto"/>
              <w:sz w:val="32"/>
              <w:szCs w:val="32"/>
            </w:rPr>
            <w:fldChar w:fldCharType="begin"/>
          </w:r>
          <w:r>
            <w:rPr>
              <w:rFonts w:hint="eastAsia" w:ascii="黑体" w:hAnsi="ˎ̥" w:eastAsia="黑体"/>
              <w:b w:val="0"/>
              <w:bCs/>
              <w:sz w:val="32"/>
              <w:szCs w:val="32"/>
            </w:rPr>
            <w:instrText xml:space="preserve"> HYPERLINK \l _Toc1257390945 </w:instrText>
          </w:r>
          <w:r>
            <w:rPr>
              <w:rFonts w:hint="eastAsia" w:ascii="黑体" w:hAnsi="ˎ̥" w:eastAsia="黑体"/>
              <w:b w:val="0"/>
              <w:bCs/>
              <w:sz w:val="32"/>
              <w:szCs w:val="32"/>
            </w:rPr>
            <w:fldChar w:fldCharType="separate"/>
          </w:r>
          <w:r>
            <w:rPr>
              <w:rFonts w:hint="eastAsia" w:ascii="黑体" w:hAnsi="ˎ̥" w:eastAsia="黑体"/>
              <w:b w:val="0"/>
              <w:bCs/>
              <w:sz w:val="32"/>
              <w:szCs w:val="32"/>
            </w:rPr>
            <w:t>第一部分  基本情况</w:t>
          </w:r>
          <w:r>
            <w:rPr>
              <w:b w:val="0"/>
              <w:bCs/>
              <w:sz w:val="32"/>
              <w:szCs w:val="32"/>
            </w:rPr>
            <w:tab/>
          </w:r>
          <w:r>
            <w:rPr>
              <w:b w:val="0"/>
              <w:bCs/>
              <w:sz w:val="32"/>
              <w:szCs w:val="32"/>
            </w:rPr>
            <w:fldChar w:fldCharType="begin"/>
          </w:r>
          <w:r>
            <w:rPr>
              <w:b w:val="0"/>
              <w:bCs/>
              <w:sz w:val="32"/>
              <w:szCs w:val="32"/>
            </w:rPr>
            <w:instrText xml:space="preserve"> PAGEREF _Toc1257390945 \h </w:instrText>
          </w:r>
          <w:r>
            <w:rPr>
              <w:b w:val="0"/>
              <w:bCs/>
              <w:sz w:val="32"/>
              <w:szCs w:val="32"/>
            </w:rPr>
            <w:fldChar w:fldCharType="separate"/>
          </w:r>
          <w:r>
            <w:rPr>
              <w:b w:val="0"/>
              <w:bCs/>
              <w:sz w:val="32"/>
              <w:szCs w:val="32"/>
            </w:rPr>
            <w:t>2</w:t>
          </w:r>
          <w:r>
            <w:rPr>
              <w:b w:val="0"/>
              <w:bCs/>
              <w:sz w:val="32"/>
              <w:szCs w:val="32"/>
            </w:rPr>
            <w:fldChar w:fldCharType="end"/>
          </w:r>
          <w:r>
            <w:rPr>
              <w:rFonts w:hint="eastAsia" w:ascii="黑体" w:hAnsi="ˎ̥" w:eastAsia="黑体"/>
              <w:b w:val="0"/>
              <w:bCs/>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_Toc518270708 </w:instrText>
          </w:r>
          <w:r>
            <w:rPr>
              <w:rFonts w:hint="eastAsia" w:ascii="宋体" w:hAnsi="宋体" w:eastAsia="宋体" w:cs="宋体"/>
              <w:sz w:val="32"/>
              <w:szCs w:val="32"/>
            </w:rPr>
            <w:fldChar w:fldCharType="separate"/>
          </w:r>
          <w:r>
            <w:rPr>
              <w:rFonts w:hint="eastAsia" w:ascii="宋体" w:hAnsi="宋体" w:eastAsia="宋体" w:cs="宋体"/>
              <w:sz w:val="32"/>
              <w:szCs w:val="32"/>
            </w:rPr>
            <w:t>一、单位职责</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_Toc518270708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_Toc983930589 </w:instrText>
          </w:r>
          <w:r>
            <w:rPr>
              <w:rFonts w:hint="eastAsia" w:ascii="宋体" w:hAnsi="宋体" w:eastAsia="宋体" w:cs="宋体"/>
              <w:sz w:val="32"/>
              <w:szCs w:val="32"/>
            </w:rPr>
            <w:fldChar w:fldCharType="separate"/>
          </w:r>
          <w:r>
            <w:rPr>
              <w:rFonts w:hint="eastAsia" w:ascii="宋体" w:hAnsi="宋体" w:eastAsia="宋体" w:cs="宋体"/>
              <w:sz w:val="32"/>
              <w:szCs w:val="32"/>
            </w:rPr>
            <w:t>二、机构设置</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_Toc983930589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5"/>
            <w:tabs>
              <w:tab w:val="right" w:leader="dot" w:pos="8845"/>
            </w:tabs>
            <w:rPr>
              <w:b w:val="0"/>
              <w:bCs/>
              <w:sz w:val="32"/>
              <w:szCs w:val="32"/>
            </w:rPr>
          </w:pPr>
          <w:r>
            <w:rPr>
              <w:rFonts w:hint="eastAsia" w:ascii="黑体" w:hAnsi="ˎ̥" w:eastAsia="黑体"/>
              <w:b w:val="0"/>
              <w:bCs/>
              <w:color w:val="auto"/>
              <w:sz w:val="32"/>
              <w:szCs w:val="32"/>
            </w:rPr>
            <w:fldChar w:fldCharType="begin"/>
          </w:r>
          <w:r>
            <w:rPr>
              <w:rFonts w:hint="eastAsia" w:ascii="黑体" w:hAnsi="ˎ̥" w:eastAsia="黑体"/>
              <w:b w:val="0"/>
              <w:bCs/>
              <w:sz w:val="32"/>
              <w:szCs w:val="32"/>
            </w:rPr>
            <w:instrText xml:space="preserve"> HYPERLINK \l _Toc963697944 </w:instrText>
          </w:r>
          <w:r>
            <w:rPr>
              <w:rFonts w:hint="eastAsia" w:ascii="黑体" w:hAnsi="ˎ̥" w:eastAsia="黑体"/>
              <w:b w:val="0"/>
              <w:bCs/>
              <w:sz w:val="32"/>
              <w:szCs w:val="32"/>
            </w:rPr>
            <w:fldChar w:fldCharType="separate"/>
          </w:r>
          <w:r>
            <w:rPr>
              <w:rFonts w:hint="eastAsia" w:ascii="黑体" w:hAnsi="ˎ̥" w:eastAsia="黑体"/>
              <w:b w:val="0"/>
              <w:bCs/>
              <w:sz w:val="32"/>
              <w:szCs w:val="32"/>
            </w:rPr>
            <w:t xml:space="preserve">第二部分  </w:t>
          </w:r>
          <w:r>
            <w:rPr>
              <w:rFonts w:hint="default" w:ascii="黑体" w:hAnsi="ˎ̥" w:eastAsia="黑体"/>
              <w:b w:val="0"/>
              <w:bCs/>
              <w:sz w:val="32"/>
              <w:szCs w:val="32"/>
              <w:lang w:val="en-US"/>
            </w:rPr>
            <w:t>2025</w:t>
          </w:r>
          <w:r>
            <w:rPr>
              <w:rFonts w:hint="eastAsia" w:ascii="黑体" w:hAnsi="ˎ̥" w:eastAsia="黑体"/>
              <w:b w:val="0"/>
              <w:bCs/>
              <w:sz w:val="32"/>
              <w:szCs w:val="32"/>
            </w:rPr>
            <w:t>年度部门决算公开报表</w:t>
          </w:r>
          <w:r>
            <w:rPr>
              <w:b w:val="0"/>
              <w:bCs/>
              <w:sz w:val="32"/>
              <w:szCs w:val="32"/>
            </w:rPr>
            <w:tab/>
          </w:r>
          <w:r>
            <w:rPr>
              <w:b w:val="0"/>
              <w:bCs/>
              <w:sz w:val="32"/>
              <w:szCs w:val="32"/>
            </w:rPr>
            <w:fldChar w:fldCharType="begin"/>
          </w:r>
          <w:r>
            <w:rPr>
              <w:b w:val="0"/>
              <w:bCs/>
              <w:sz w:val="32"/>
              <w:szCs w:val="32"/>
            </w:rPr>
            <w:instrText xml:space="preserve"> PAGEREF _Toc963697944 \h </w:instrText>
          </w:r>
          <w:r>
            <w:rPr>
              <w:b w:val="0"/>
              <w:bCs/>
              <w:sz w:val="32"/>
              <w:szCs w:val="32"/>
            </w:rPr>
            <w:fldChar w:fldCharType="separate"/>
          </w:r>
          <w:r>
            <w:rPr>
              <w:b w:val="0"/>
              <w:bCs/>
              <w:sz w:val="32"/>
              <w:szCs w:val="32"/>
            </w:rPr>
            <w:t>2</w:t>
          </w:r>
          <w:r>
            <w:rPr>
              <w:b w:val="0"/>
              <w:bCs/>
              <w:sz w:val="32"/>
              <w:szCs w:val="32"/>
            </w:rPr>
            <w:fldChar w:fldCharType="end"/>
          </w:r>
          <w:r>
            <w:rPr>
              <w:rFonts w:hint="eastAsia" w:ascii="黑体" w:hAnsi="ˎ̥" w:eastAsia="黑体"/>
              <w:b w:val="0"/>
              <w:bCs/>
              <w:color w:val="auto"/>
              <w:sz w:val="32"/>
              <w:szCs w:val="32"/>
            </w:rPr>
            <w:fldChar w:fldCharType="end"/>
          </w:r>
        </w:p>
        <w:p>
          <w:pPr>
            <w:pStyle w:val="15"/>
            <w:tabs>
              <w:tab w:val="right" w:leader="dot" w:pos="8845"/>
            </w:tabs>
            <w:rPr>
              <w:b/>
              <w:sz w:val="32"/>
              <w:szCs w:val="32"/>
            </w:rPr>
          </w:pPr>
          <w:r>
            <w:rPr>
              <w:rFonts w:hint="eastAsia" w:ascii="黑体" w:hAnsi="ˎ̥" w:eastAsia="黑体"/>
              <w:b w:val="0"/>
              <w:bCs/>
              <w:color w:val="auto"/>
              <w:sz w:val="32"/>
              <w:szCs w:val="32"/>
            </w:rPr>
            <w:fldChar w:fldCharType="begin"/>
          </w:r>
          <w:r>
            <w:rPr>
              <w:rFonts w:hint="eastAsia" w:ascii="黑体" w:hAnsi="ˎ̥" w:eastAsia="黑体"/>
              <w:b w:val="0"/>
              <w:bCs/>
              <w:sz w:val="32"/>
              <w:szCs w:val="32"/>
            </w:rPr>
            <w:instrText xml:space="preserve"> HYPERLINK \l _Toc837673902 </w:instrText>
          </w:r>
          <w:r>
            <w:rPr>
              <w:rFonts w:hint="eastAsia" w:ascii="黑体" w:hAnsi="ˎ̥" w:eastAsia="黑体"/>
              <w:b w:val="0"/>
              <w:bCs/>
              <w:sz w:val="32"/>
              <w:szCs w:val="32"/>
            </w:rPr>
            <w:fldChar w:fldCharType="separate"/>
          </w:r>
          <w:r>
            <w:rPr>
              <w:rFonts w:hint="eastAsia" w:ascii="黑体" w:hAnsi="ˎ̥" w:eastAsia="黑体"/>
              <w:b w:val="0"/>
              <w:bCs/>
              <w:sz w:val="32"/>
              <w:szCs w:val="32"/>
            </w:rPr>
            <w:t xml:space="preserve">第三部分  </w:t>
          </w:r>
          <w:r>
            <w:rPr>
              <w:rFonts w:hint="default" w:ascii="黑体" w:hAnsi="ˎ̥" w:eastAsia="黑体"/>
              <w:b w:val="0"/>
              <w:bCs/>
              <w:sz w:val="32"/>
              <w:szCs w:val="32"/>
              <w:lang w:val="en-US"/>
            </w:rPr>
            <w:t>2025</w:t>
          </w:r>
          <w:r>
            <w:rPr>
              <w:rFonts w:hint="eastAsia" w:ascii="黑体" w:hAnsi="ˎ̥" w:eastAsia="黑体"/>
              <w:b w:val="0"/>
              <w:bCs/>
              <w:sz w:val="32"/>
              <w:szCs w:val="32"/>
            </w:rPr>
            <w:t>年度部门决算情况说明</w:t>
          </w:r>
          <w:r>
            <w:rPr>
              <w:b w:val="0"/>
              <w:bCs/>
              <w:sz w:val="32"/>
              <w:szCs w:val="32"/>
            </w:rPr>
            <w:tab/>
          </w:r>
          <w:r>
            <w:rPr>
              <w:b w:val="0"/>
              <w:bCs/>
              <w:sz w:val="32"/>
              <w:szCs w:val="32"/>
            </w:rPr>
            <w:fldChar w:fldCharType="begin"/>
          </w:r>
          <w:r>
            <w:rPr>
              <w:b w:val="0"/>
              <w:bCs/>
              <w:sz w:val="32"/>
              <w:szCs w:val="32"/>
            </w:rPr>
            <w:instrText xml:space="preserve"> PAGEREF _Toc837673902 \h </w:instrText>
          </w:r>
          <w:r>
            <w:rPr>
              <w:b w:val="0"/>
              <w:bCs/>
              <w:sz w:val="32"/>
              <w:szCs w:val="32"/>
            </w:rPr>
            <w:fldChar w:fldCharType="separate"/>
          </w:r>
          <w:r>
            <w:rPr>
              <w:b w:val="0"/>
              <w:bCs/>
              <w:sz w:val="32"/>
              <w:szCs w:val="32"/>
            </w:rPr>
            <w:t>3</w:t>
          </w:r>
          <w:r>
            <w:rPr>
              <w:b w:val="0"/>
              <w:bCs/>
              <w:sz w:val="32"/>
              <w:szCs w:val="32"/>
            </w:rPr>
            <w:fldChar w:fldCharType="end"/>
          </w:r>
          <w:r>
            <w:rPr>
              <w:rFonts w:hint="eastAsia" w:ascii="黑体" w:hAnsi="ˎ̥" w:eastAsia="黑体"/>
              <w:b w:val="0"/>
              <w:bCs/>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_Toc1601103968 </w:instrText>
          </w:r>
          <w:r>
            <w:rPr>
              <w:rFonts w:hint="eastAsia" w:ascii="宋体" w:hAnsi="宋体" w:eastAsia="宋体" w:cs="宋体"/>
              <w:sz w:val="32"/>
              <w:szCs w:val="32"/>
            </w:rPr>
            <w:fldChar w:fldCharType="separate"/>
          </w:r>
          <w:r>
            <w:rPr>
              <w:rFonts w:hint="eastAsia" w:ascii="宋体" w:hAnsi="宋体" w:eastAsia="宋体" w:cs="宋体"/>
              <w:bCs/>
              <w:sz w:val="32"/>
              <w:szCs w:val="32"/>
            </w:rPr>
            <w:t>一、 收入支出总体情况说明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_Toc1601103968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_Toc1146128678 </w:instrText>
          </w:r>
          <w:r>
            <w:rPr>
              <w:rFonts w:hint="eastAsia" w:ascii="宋体" w:hAnsi="宋体" w:eastAsia="宋体" w:cs="宋体"/>
              <w:sz w:val="32"/>
              <w:szCs w:val="32"/>
            </w:rPr>
            <w:fldChar w:fldCharType="separate"/>
          </w:r>
          <w:r>
            <w:rPr>
              <w:rFonts w:hint="eastAsia" w:ascii="宋体" w:hAnsi="宋体" w:eastAsia="宋体" w:cs="宋体"/>
              <w:bCs/>
              <w:sz w:val="32"/>
              <w:szCs w:val="32"/>
            </w:rPr>
            <w:t>二、 收入决算情况说明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_Toc1146128678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_Toc115171423 </w:instrText>
          </w:r>
          <w:r>
            <w:rPr>
              <w:rFonts w:hint="eastAsia" w:ascii="宋体" w:hAnsi="宋体" w:eastAsia="宋体" w:cs="宋体"/>
              <w:sz w:val="32"/>
              <w:szCs w:val="32"/>
            </w:rPr>
            <w:fldChar w:fldCharType="separate"/>
          </w:r>
          <w:r>
            <w:rPr>
              <w:rFonts w:hint="eastAsia" w:ascii="宋体" w:hAnsi="宋体" w:eastAsia="宋体" w:cs="宋体"/>
              <w:bCs/>
              <w:sz w:val="32"/>
              <w:szCs w:val="32"/>
            </w:rPr>
            <w:t>三、支出决算情况说明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_Toc115171423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_Toc1907691497 </w:instrText>
          </w:r>
          <w:r>
            <w:rPr>
              <w:rFonts w:hint="eastAsia" w:ascii="宋体" w:hAnsi="宋体" w:eastAsia="宋体" w:cs="宋体"/>
              <w:sz w:val="32"/>
              <w:szCs w:val="32"/>
            </w:rPr>
            <w:fldChar w:fldCharType="separate"/>
          </w:r>
          <w:r>
            <w:rPr>
              <w:rFonts w:hint="eastAsia" w:ascii="宋体" w:hAnsi="宋体" w:eastAsia="宋体" w:cs="宋体"/>
              <w:bCs/>
              <w:sz w:val="32"/>
              <w:szCs w:val="32"/>
            </w:rPr>
            <w:t>四、财政拨款收入支出决算总体情况说明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_Toc1907691497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_Toc1300245736 </w:instrText>
          </w:r>
          <w:r>
            <w:rPr>
              <w:rFonts w:hint="eastAsia" w:ascii="宋体" w:hAnsi="宋体" w:eastAsia="宋体" w:cs="宋体"/>
              <w:sz w:val="32"/>
              <w:szCs w:val="32"/>
            </w:rPr>
            <w:fldChar w:fldCharType="separate"/>
          </w:r>
          <w:r>
            <w:rPr>
              <w:rFonts w:hint="eastAsia" w:ascii="宋体" w:hAnsi="宋体" w:eastAsia="宋体" w:cs="宋体"/>
              <w:bCs/>
              <w:sz w:val="32"/>
              <w:szCs w:val="32"/>
            </w:rPr>
            <w:t>五、一般公共预算财政拨款支出决算情况说明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_Toc1300245736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_Toc1285264527 </w:instrText>
          </w:r>
          <w:r>
            <w:rPr>
              <w:rFonts w:hint="eastAsia" w:ascii="宋体" w:hAnsi="宋体" w:eastAsia="宋体" w:cs="宋体"/>
              <w:sz w:val="32"/>
              <w:szCs w:val="32"/>
            </w:rPr>
            <w:fldChar w:fldCharType="separate"/>
          </w:r>
          <w:r>
            <w:rPr>
              <w:rFonts w:hint="eastAsia" w:ascii="宋体" w:hAnsi="宋体" w:eastAsia="宋体" w:cs="宋体"/>
              <w:bCs/>
              <w:sz w:val="32"/>
              <w:szCs w:val="32"/>
            </w:rPr>
            <w:t>六、一般公共预算财政拨款基本支出决算情况说明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_Toc1285264527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_Toc1155870669 </w:instrText>
          </w:r>
          <w:r>
            <w:rPr>
              <w:rFonts w:hint="eastAsia" w:ascii="宋体" w:hAnsi="宋体" w:eastAsia="宋体" w:cs="宋体"/>
              <w:sz w:val="32"/>
              <w:szCs w:val="32"/>
            </w:rPr>
            <w:fldChar w:fldCharType="separate"/>
          </w:r>
          <w:r>
            <w:rPr>
              <w:rFonts w:hint="eastAsia" w:ascii="宋体" w:hAnsi="宋体" w:eastAsia="宋体" w:cs="宋体"/>
              <w:bCs/>
              <w:sz w:val="32"/>
              <w:szCs w:val="32"/>
            </w:rPr>
            <w:t>七、政府性基金预算财政拨款支出决算情况说明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_Toc1155870669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_Toc630550299 </w:instrText>
          </w:r>
          <w:r>
            <w:rPr>
              <w:rFonts w:hint="eastAsia" w:ascii="宋体" w:hAnsi="宋体" w:eastAsia="宋体" w:cs="宋体"/>
              <w:sz w:val="32"/>
              <w:szCs w:val="32"/>
            </w:rPr>
            <w:fldChar w:fldCharType="separate"/>
          </w:r>
          <w:r>
            <w:rPr>
              <w:rFonts w:hint="eastAsia" w:ascii="宋体" w:hAnsi="宋体" w:eastAsia="宋体" w:cs="宋体"/>
              <w:bCs/>
              <w:sz w:val="32"/>
              <w:szCs w:val="32"/>
            </w:rPr>
            <w:t>八、国有资本经营预算财政拨款支出决算情况说明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_Toc630550299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_Toc1441376425 </w:instrText>
          </w:r>
          <w:r>
            <w:rPr>
              <w:rFonts w:hint="eastAsia" w:ascii="宋体" w:hAnsi="宋体" w:eastAsia="宋体" w:cs="宋体"/>
              <w:sz w:val="32"/>
              <w:szCs w:val="32"/>
            </w:rPr>
            <w:fldChar w:fldCharType="separate"/>
          </w:r>
          <w:r>
            <w:rPr>
              <w:rFonts w:hint="eastAsia" w:ascii="宋体" w:hAnsi="宋体" w:eastAsia="宋体" w:cs="宋体"/>
              <w:bCs/>
              <w:sz w:val="32"/>
              <w:szCs w:val="32"/>
            </w:rPr>
            <w:t>九、财政拨款“三公”经费支出决算情况说明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_Toc1441376425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_Toc387698632 </w:instrText>
          </w:r>
          <w:r>
            <w:rPr>
              <w:rFonts w:hint="eastAsia" w:ascii="宋体" w:hAnsi="宋体" w:eastAsia="宋体" w:cs="宋体"/>
              <w:sz w:val="32"/>
              <w:szCs w:val="32"/>
            </w:rPr>
            <w:fldChar w:fldCharType="separate"/>
          </w:r>
          <w:r>
            <w:rPr>
              <w:rFonts w:hint="eastAsia" w:ascii="宋体" w:hAnsi="宋体" w:eastAsia="宋体" w:cs="宋体"/>
              <w:bCs/>
              <w:sz w:val="32"/>
              <w:szCs w:val="32"/>
            </w:rPr>
            <w:t>十、预算绩效情况说明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_Toc387698632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_Toc518080803 </w:instrText>
          </w:r>
          <w:r>
            <w:rPr>
              <w:rFonts w:hint="eastAsia" w:ascii="宋体" w:hAnsi="宋体" w:eastAsia="宋体" w:cs="宋体"/>
              <w:sz w:val="32"/>
              <w:szCs w:val="32"/>
            </w:rPr>
            <w:fldChar w:fldCharType="separate"/>
          </w:r>
          <w:r>
            <w:rPr>
              <w:rFonts w:hint="eastAsia" w:ascii="宋体" w:hAnsi="宋体" w:eastAsia="宋体" w:cs="宋体"/>
              <w:bCs/>
              <w:sz w:val="32"/>
              <w:szCs w:val="32"/>
              <w:lang w:val="zh-CN"/>
            </w:rPr>
            <w:t>十一、落实习惯过紧日子要求、保障重点支出情况说明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_Toc518080803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_Toc1384991836 </w:instrText>
          </w:r>
          <w:r>
            <w:rPr>
              <w:rFonts w:hint="eastAsia" w:ascii="宋体" w:hAnsi="宋体" w:eastAsia="宋体" w:cs="宋体"/>
              <w:sz w:val="32"/>
              <w:szCs w:val="32"/>
            </w:rPr>
            <w:fldChar w:fldCharType="separate"/>
          </w:r>
          <w:r>
            <w:rPr>
              <w:rFonts w:hint="eastAsia" w:ascii="宋体" w:hAnsi="宋体" w:eastAsia="宋体" w:cs="宋体"/>
              <w:bCs/>
              <w:sz w:val="32"/>
              <w:szCs w:val="32"/>
            </w:rPr>
            <w:t>十</w:t>
          </w:r>
          <w:r>
            <w:rPr>
              <w:rFonts w:hint="eastAsia" w:ascii="宋体" w:hAnsi="宋体" w:eastAsia="宋体" w:cs="宋体"/>
              <w:bCs/>
              <w:sz w:val="32"/>
              <w:szCs w:val="32"/>
              <w:lang w:val="en-US" w:eastAsia="zh-CN"/>
            </w:rPr>
            <w:t>二</w:t>
          </w:r>
          <w:r>
            <w:rPr>
              <w:rFonts w:hint="eastAsia" w:ascii="宋体" w:hAnsi="宋体" w:eastAsia="宋体" w:cs="宋体"/>
              <w:bCs/>
              <w:sz w:val="32"/>
              <w:szCs w:val="32"/>
            </w:rPr>
            <w:t>、其他重要事项情况说明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_Toc1384991836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5"/>
            <w:tabs>
              <w:tab w:val="right" w:leader="dot" w:pos="8845"/>
            </w:tabs>
            <w:rPr>
              <w:b/>
            </w:rPr>
          </w:pPr>
          <w:r>
            <w:rPr>
              <w:rFonts w:hint="eastAsia" w:ascii="黑体" w:hAnsi="ˎ̥" w:eastAsia="黑体"/>
              <w:b w:val="0"/>
              <w:bCs/>
              <w:color w:val="auto"/>
              <w:sz w:val="32"/>
              <w:szCs w:val="32"/>
            </w:rPr>
            <w:fldChar w:fldCharType="begin"/>
          </w:r>
          <w:r>
            <w:rPr>
              <w:rFonts w:hint="eastAsia" w:ascii="黑体" w:hAnsi="ˎ̥" w:eastAsia="黑体"/>
              <w:b w:val="0"/>
              <w:bCs/>
              <w:sz w:val="32"/>
              <w:szCs w:val="32"/>
            </w:rPr>
            <w:instrText xml:space="preserve"> HYPERLINK \l _Toc647934425 </w:instrText>
          </w:r>
          <w:r>
            <w:rPr>
              <w:rFonts w:hint="eastAsia" w:ascii="黑体" w:hAnsi="ˎ̥" w:eastAsia="黑体"/>
              <w:b w:val="0"/>
              <w:bCs/>
              <w:sz w:val="32"/>
              <w:szCs w:val="32"/>
            </w:rPr>
            <w:fldChar w:fldCharType="separate"/>
          </w:r>
          <w:r>
            <w:rPr>
              <w:rFonts w:hint="eastAsia" w:ascii="黑体" w:hAnsi="ˎ̥" w:eastAsia="黑体"/>
              <w:b w:val="0"/>
              <w:bCs/>
              <w:sz w:val="32"/>
              <w:szCs w:val="32"/>
            </w:rPr>
            <w:t>第四部分  名词解释</w:t>
          </w:r>
          <w:r>
            <w:rPr>
              <w:b w:val="0"/>
              <w:bCs/>
              <w:sz w:val="32"/>
              <w:szCs w:val="32"/>
            </w:rPr>
            <w:tab/>
          </w:r>
          <w:r>
            <w:rPr>
              <w:b w:val="0"/>
              <w:bCs/>
              <w:sz w:val="32"/>
              <w:szCs w:val="32"/>
            </w:rPr>
            <w:fldChar w:fldCharType="begin"/>
          </w:r>
          <w:r>
            <w:rPr>
              <w:b w:val="0"/>
              <w:bCs/>
              <w:sz w:val="32"/>
              <w:szCs w:val="32"/>
            </w:rPr>
            <w:instrText xml:space="preserve"> PAGEREF _Toc647934425 \h </w:instrText>
          </w:r>
          <w:r>
            <w:rPr>
              <w:b w:val="0"/>
              <w:bCs/>
              <w:sz w:val="32"/>
              <w:szCs w:val="32"/>
            </w:rPr>
            <w:fldChar w:fldCharType="separate"/>
          </w:r>
          <w:r>
            <w:rPr>
              <w:b w:val="0"/>
              <w:bCs/>
              <w:sz w:val="32"/>
              <w:szCs w:val="32"/>
            </w:rPr>
            <w:t>7</w:t>
          </w:r>
          <w:r>
            <w:rPr>
              <w:b w:val="0"/>
              <w:bCs/>
              <w:sz w:val="32"/>
              <w:szCs w:val="32"/>
            </w:rPr>
            <w:fldChar w:fldCharType="end"/>
          </w:r>
          <w:r>
            <w:rPr>
              <w:rFonts w:hint="eastAsia" w:ascii="黑体" w:hAnsi="ˎ̥" w:eastAsia="黑体"/>
              <w:b w:val="0"/>
              <w:bCs/>
              <w:color w:val="auto"/>
              <w:sz w:val="32"/>
              <w:szCs w:val="32"/>
            </w:rPr>
            <w:fldChar w:fldCharType="end"/>
          </w:r>
        </w:p>
        <w:p>
          <w:pPr>
            <w:spacing w:line="578" w:lineRule="exact"/>
            <w:jc w:val="both"/>
            <w:rPr>
              <w:rFonts w:hint="eastAsia" w:ascii="黑体" w:hAnsi="ˎ̥" w:eastAsia="黑体"/>
              <w:color w:val="auto"/>
              <w:sz w:val="32"/>
              <w:szCs w:val="32"/>
            </w:rPr>
          </w:pPr>
          <w:r>
            <w:rPr>
              <w:rFonts w:hint="eastAsia" w:ascii="黑体" w:hAnsi="ˎ̥" w:eastAsia="黑体"/>
              <w:b/>
              <w:color w:val="auto"/>
              <w:szCs w:val="32"/>
            </w:rPr>
            <w:fldChar w:fldCharType="end"/>
          </w:r>
        </w:p>
      </w:sdtContent>
    </w:sdt>
    <w:p>
      <w:pPr>
        <w:spacing w:line="578" w:lineRule="exact"/>
        <w:jc w:val="center"/>
        <w:outlineLvl w:val="0"/>
        <w:rPr>
          <w:rFonts w:hint="eastAsia" w:ascii="黑体" w:hAnsi="ˎ̥" w:eastAsia="黑体"/>
          <w:color w:val="auto"/>
          <w:sz w:val="32"/>
          <w:szCs w:val="32"/>
        </w:rPr>
      </w:pPr>
      <w:bookmarkStart w:id="10" w:name="_Toc1257390945"/>
      <w:r>
        <w:rPr>
          <w:rFonts w:hint="eastAsia" w:ascii="黑体" w:hAnsi="ˎ̥" w:eastAsia="黑体"/>
          <w:color w:val="auto"/>
          <w:sz w:val="32"/>
          <w:szCs w:val="32"/>
        </w:rPr>
        <w:t xml:space="preserve">第一部分  </w:t>
      </w:r>
      <w:bookmarkEnd w:id="0"/>
      <w:bookmarkEnd w:id="1"/>
      <w:bookmarkEnd w:id="2"/>
      <w:bookmarkEnd w:id="3"/>
      <w:bookmarkEnd w:id="4"/>
      <w:r>
        <w:rPr>
          <w:rFonts w:hint="eastAsia" w:ascii="黑体" w:hAnsi="ˎ̥" w:eastAsia="黑体"/>
          <w:color w:val="auto"/>
          <w:sz w:val="32"/>
          <w:szCs w:val="32"/>
        </w:rPr>
        <w:t>基本情况</w:t>
      </w:r>
      <w:bookmarkEnd w:id="10"/>
    </w:p>
    <w:p>
      <w:pPr>
        <w:spacing w:line="578" w:lineRule="exact"/>
        <w:ind w:firstLine="640" w:firstLineChars="200"/>
        <w:rPr>
          <w:rFonts w:hint="eastAsia" w:ascii="楷体" w:hAnsi="楷体" w:eastAsia="楷体" w:cs="楷体"/>
          <w:color w:val="auto"/>
          <w:sz w:val="32"/>
          <w:szCs w:val="32"/>
        </w:rPr>
      </w:pPr>
    </w:p>
    <w:bookmarkEnd w:id="5"/>
    <w:p>
      <w:pPr>
        <w:numPr>
          <w:ilvl w:val="0"/>
          <w:numId w:val="1"/>
        </w:numPr>
        <w:spacing w:line="578" w:lineRule="exact"/>
        <w:ind w:firstLine="640" w:firstLineChars="200"/>
        <w:outlineLvl w:val="1"/>
        <w:rPr>
          <w:rFonts w:hint="eastAsia" w:ascii="黑体" w:hAnsi="黑体" w:eastAsia="黑体" w:cs="黑体"/>
          <w:color w:val="auto"/>
          <w:sz w:val="32"/>
          <w:szCs w:val="32"/>
        </w:rPr>
      </w:pPr>
      <w:bookmarkStart w:id="11" w:name="_Toc518270708"/>
      <w:r>
        <w:rPr>
          <w:rFonts w:hint="eastAsia" w:ascii="黑体" w:hAnsi="黑体" w:eastAsia="黑体" w:cs="黑体"/>
          <w:color w:val="auto"/>
          <w:sz w:val="32"/>
          <w:szCs w:val="32"/>
        </w:rPr>
        <w:t>单位职责</w:t>
      </w:r>
      <w:bookmarkEnd w:id="6"/>
      <w:bookmarkEnd w:id="7"/>
      <w:bookmarkEnd w:id="8"/>
      <w:bookmarkEnd w:id="9"/>
      <w:bookmarkEnd w:id="11"/>
    </w:p>
    <w:p>
      <w:pPr>
        <w:snapToGrid w:val="0"/>
        <w:spacing w:line="520" w:lineRule="exact"/>
        <w:ind w:firstLine="640" w:firstLineChars="200"/>
        <w:rPr>
          <w:rFonts w:hint="eastAsia" w:ascii="仿宋_GB2312" w:hAnsi="ˎ̥" w:eastAsia="仿宋_GB2312"/>
          <w:color w:val="auto"/>
          <w:sz w:val="32"/>
          <w:szCs w:val="32"/>
        </w:rPr>
      </w:pPr>
      <w:r>
        <w:rPr>
          <w:rFonts w:hint="eastAsia" w:ascii="宋体" w:hAnsi="宋体" w:eastAsia="宋体" w:cs="宋体"/>
          <w:color w:val="auto"/>
          <w:sz w:val="32"/>
          <w:szCs w:val="32"/>
          <w:lang w:val="en-US" w:eastAsia="zh-CN"/>
        </w:rPr>
        <w:t>海南省创业投资引导基金管理委员会办公室为海南省财政厅下属事业单位，主要</w:t>
      </w:r>
      <w:r>
        <w:rPr>
          <w:rFonts w:hint="eastAsia" w:ascii="宋体" w:hAnsi="宋体" w:eastAsia="宋体" w:cs="宋体"/>
          <w:color w:val="auto"/>
          <w:sz w:val="32"/>
          <w:szCs w:val="32"/>
        </w:rPr>
        <w:t>承办省创业投资引导基金管理委员会的日常工作；编制创业投资引导基金年度支出计划、执行情况与申报指南；负责创业投资引导基金的管理使用与创业投资企业的合作申请工作；承办上级部门交办的其他工作</w:t>
      </w:r>
      <w:r>
        <w:rPr>
          <w:rFonts w:hint="eastAsia" w:ascii="仿宋_GB2312" w:hAnsi="ˎ̥" w:eastAsia="仿宋_GB2312"/>
          <w:color w:val="auto"/>
          <w:sz w:val="32"/>
          <w:szCs w:val="32"/>
        </w:rPr>
        <w:t>。</w:t>
      </w:r>
    </w:p>
    <w:p>
      <w:pPr>
        <w:snapToGrid w:val="0"/>
        <w:spacing w:line="520" w:lineRule="exact"/>
        <w:ind w:firstLine="642" w:firstLineChars="200"/>
        <w:rPr>
          <w:rFonts w:hint="eastAsia" w:ascii="宋体" w:hAnsi="宋体" w:eastAsia="宋体" w:cs="宋体"/>
          <w:b/>
          <w:bCs w:val="0"/>
          <w:color w:val="auto"/>
          <w:sz w:val="32"/>
          <w:szCs w:val="32"/>
        </w:rPr>
      </w:pPr>
      <w:r>
        <w:rPr>
          <w:rFonts w:hint="eastAsia" w:ascii="宋体" w:hAnsi="宋体" w:eastAsia="宋体" w:cs="宋体"/>
          <w:b/>
          <w:bCs w:val="0"/>
          <w:color w:val="auto"/>
          <w:sz w:val="32"/>
          <w:szCs w:val="32"/>
          <w:highlight w:val="none"/>
          <w:lang w:eastAsia="zh-CN"/>
        </w:rPr>
        <w:t>本单位本年已撤销。</w:t>
      </w:r>
    </w:p>
    <w:p>
      <w:pPr>
        <w:spacing w:line="578" w:lineRule="exact"/>
        <w:ind w:firstLine="640" w:firstLineChars="200"/>
        <w:outlineLvl w:val="1"/>
        <w:rPr>
          <w:rFonts w:hint="eastAsia" w:ascii="黑体" w:hAnsi="黑体" w:eastAsia="黑体" w:cs="黑体"/>
          <w:color w:val="auto"/>
          <w:sz w:val="32"/>
          <w:szCs w:val="32"/>
        </w:rPr>
      </w:pPr>
      <w:bookmarkStart w:id="12" w:name="_Toc6572_WPSOffice_Level2"/>
      <w:bookmarkStart w:id="13" w:name="_Toc17796_WPSOffice_Level2"/>
      <w:bookmarkStart w:id="14" w:name="_Toc983930589"/>
      <w:bookmarkStart w:id="15" w:name="_Toc24474_WPSOffice_Level2"/>
      <w:bookmarkStart w:id="16" w:name="_Toc24059_WPSOffice_Level2"/>
      <w:r>
        <w:rPr>
          <w:rFonts w:hint="eastAsia" w:ascii="黑体" w:hAnsi="黑体" w:eastAsia="黑体" w:cs="黑体"/>
          <w:color w:val="auto"/>
          <w:sz w:val="32"/>
          <w:szCs w:val="32"/>
        </w:rPr>
        <w:t>二、机构设置</w:t>
      </w:r>
      <w:bookmarkEnd w:id="12"/>
      <w:bookmarkEnd w:id="13"/>
      <w:bookmarkEnd w:id="14"/>
      <w:bookmarkEnd w:id="15"/>
      <w:bookmarkEnd w:id="16"/>
    </w:p>
    <w:p>
      <w:pPr>
        <w:spacing w:line="578" w:lineRule="exact"/>
        <w:ind w:firstLine="640" w:firstLineChars="200"/>
        <w:jc w:val="both"/>
        <w:rPr>
          <w:rFonts w:hint="eastAsia" w:ascii="黑体" w:hAnsi="ˎ̥" w:eastAsia="黑体"/>
          <w:color w:val="auto"/>
          <w:sz w:val="32"/>
          <w:szCs w:val="32"/>
        </w:rPr>
      </w:pPr>
      <w:bookmarkStart w:id="17" w:name="_Toc15521_WPSOffice_Level1"/>
      <w:bookmarkStart w:id="18" w:name="_Toc30451_WPSOffice_Level1"/>
      <w:bookmarkStart w:id="19" w:name="_Toc30690_WPSOffice_Level1"/>
      <w:bookmarkStart w:id="20" w:name="_Toc8164_WPSOffice_Level1"/>
      <w:bookmarkStart w:id="21" w:name="_Toc6234_WPSOffice_Level1"/>
      <w:bookmarkStart w:id="22" w:name="_Toc11518_WPSOffice_Level2"/>
      <w:bookmarkStart w:id="23" w:name="_Toc32472_WPSOffice_Level2"/>
      <w:bookmarkStart w:id="24" w:name="_Toc32695_WPSOffice_Level2"/>
      <w:bookmarkStart w:id="25" w:name="_Toc4029_WPSOffice_Level2"/>
      <w:bookmarkStart w:id="26" w:name="_Toc8867_WPSOffice_Level2"/>
      <w:bookmarkStart w:id="27" w:name="_Toc6211_WPSOffice_Level2"/>
      <w:r>
        <w:rPr>
          <w:rFonts w:hint="eastAsia" w:ascii="宋体" w:hAnsi="宋体" w:eastAsia="宋体" w:cs="宋体"/>
          <w:color w:val="auto"/>
          <w:sz w:val="32"/>
          <w:szCs w:val="32"/>
        </w:rPr>
        <w:t>未设内设机构</w:t>
      </w:r>
      <w:r>
        <w:rPr>
          <w:rFonts w:hint="eastAsia" w:ascii="宋体" w:hAnsi="宋体" w:eastAsia="宋体" w:cs="宋体"/>
          <w:color w:val="auto"/>
          <w:sz w:val="32"/>
          <w:szCs w:val="32"/>
          <w:lang w:eastAsia="zh-CN"/>
        </w:rPr>
        <w:t>。</w:t>
      </w:r>
    </w:p>
    <w:p>
      <w:pPr>
        <w:spacing w:line="578" w:lineRule="exact"/>
        <w:jc w:val="center"/>
        <w:rPr>
          <w:rFonts w:hint="eastAsia" w:ascii="黑体" w:hAnsi="ˎ̥" w:eastAsia="黑体"/>
          <w:color w:val="auto"/>
          <w:sz w:val="32"/>
          <w:szCs w:val="32"/>
        </w:rPr>
      </w:pPr>
    </w:p>
    <w:p>
      <w:pPr>
        <w:spacing w:line="578" w:lineRule="exact"/>
        <w:jc w:val="center"/>
        <w:outlineLvl w:val="0"/>
        <w:rPr>
          <w:rFonts w:hint="eastAsia" w:ascii="黑体" w:hAnsi="ˎ̥" w:eastAsia="黑体"/>
          <w:color w:val="auto"/>
          <w:sz w:val="32"/>
          <w:szCs w:val="32"/>
        </w:rPr>
      </w:pPr>
      <w:bookmarkStart w:id="28" w:name="_Toc963697944"/>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年度部门决算公开报表</w:t>
      </w:r>
      <w:bookmarkEnd w:id="17"/>
      <w:bookmarkEnd w:id="18"/>
      <w:bookmarkEnd w:id="19"/>
      <w:bookmarkEnd w:id="20"/>
      <w:bookmarkEnd w:id="21"/>
      <w:bookmarkEnd w:id="28"/>
    </w:p>
    <w:p>
      <w:pPr>
        <w:spacing w:line="578" w:lineRule="exact"/>
        <w:ind w:firstLine="645"/>
        <w:rPr>
          <w:rFonts w:hint="eastAsia" w:ascii="黑体" w:hAnsi="黑体" w:eastAsia="黑体" w:cs="黑体"/>
          <w:color w:val="auto"/>
          <w:sz w:val="32"/>
          <w:szCs w:val="32"/>
        </w:rPr>
      </w:pPr>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2"/>
      <w:bookmarkEnd w:id="23"/>
      <w:bookmarkEnd w:id="24"/>
      <w:bookmarkEnd w:id="25"/>
      <w:bookmarkEnd w:id="26"/>
      <w:bookmarkEnd w:id="27"/>
    </w:p>
    <w:p>
      <w:pPr>
        <w:spacing w:line="578" w:lineRule="exact"/>
        <w:ind w:firstLine="645"/>
        <w:rPr>
          <w:rFonts w:hint="eastAsia" w:ascii="黑体" w:hAnsi="黑体" w:eastAsia="黑体" w:cs="黑体"/>
          <w:color w:val="auto"/>
          <w:sz w:val="32"/>
          <w:szCs w:val="32"/>
        </w:rPr>
      </w:pPr>
      <w:bookmarkStart w:id="29" w:name="_Toc26621_WPSOffice_Level2"/>
      <w:bookmarkStart w:id="30" w:name="_Toc14349_WPSOffice_Level2"/>
      <w:bookmarkStart w:id="31" w:name="_Toc28622_WPSOffice_Level2"/>
      <w:bookmarkStart w:id="32" w:name="_Toc23139_WPSOffice_Level2"/>
      <w:bookmarkStart w:id="33" w:name="_Toc30334_WPSOffice_Level2"/>
      <w:bookmarkStart w:id="34" w:name="_Toc25608_WPSOffice_Level2"/>
      <w:r>
        <w:rPr>
          <w:rFonts w:hint="eastAsia" w:ascii="黑体" w:hAnsi="黑体" w:eastAsia="黑体" w:cs="黑体"/>
          <w:color w:val="auto"/>
          <w:sz w:val="32"/>
          <w:szCs w:val="32"/>
        </w:rPr>
        <w:t>二、收入决算公开表</w:t>
      </w:r>
      <w:bookmarkEnd w:id="29"/>
      <w:bookmarkEnd w:id="30"/>
      <w:bookmarkEnd w:id="31"/>
      <w:bookmarkEnd w:id="32"/>
      <w:bookmarkEnd w:id="33"/>
      <w:bookmarkEnd w:id="34"/>
      <w:bookmarkStart w:id="35" w:name="_Toc14658_WPSOffice_Level2"/>
      <w:bookmarkStart w:id="36" w:name="_Toc5489_WPSOffice_Level2"/>
      <w:bookmarkStart w:id="37" w:name="_Toc3262_WPSOffice_Level2"/>
      <w:bookmarkStart w:id="38" w:name="_Toc13854_WPSOffice_Level2"/>
      <w:bookmarkStart w:id="39" w:name="_Toc17858_WPSOffice_Level2"/>
      <w:bookmarkStart w:id="40" w:name="_Toc17626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5"/>
      <w:bookmarkEnd w:id="36"/>
      <w:bookmarkEnd w:id="37"/>
      <w:bookmarkEnd w:id="38"/>
      <w:bookmarkEnd w:id="39"/>
      <w:bookmarkEnd w:id="40"/>
      <w:bookmarkStart w:id="41" w:name="_Toc13701_WPSOffice_Level2"/>
      <w:bookmarkStart w:id="42" w:name="_Toc23591_WPSOffice_Level2"/>
      <w:bookmarkStart w:id="43" w:name="_Toc23493_WPSOffice_Level2"/>
      <w:bookmarkStart w:id="44" w:name="_Toc4265_WPSOffice_Level2"/>
      <w:bookmarkStart w:id="45" w:name="_Toc7988_WPSOffice_Level2"/>
      <w:bookmarkStart w:id="46" w:name="_Toc21415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1"/>
      <w:bookmarkEnd w:id="42"/>
      <w:bookmarkEnd w:id="43"/>
      <w:bookmarkEnd w:id="44"/>
      <w:bookmarkEnd w:id="45"/>
      <w:bookmarkEnd w:id="46"/>
    </w:p>
    <w:p>
      <w:pPr>
        <w:spacing w:line="578" w:lineRule="exact"/>
        <w:ind w:firstLine="645"/>
        <w:rPr>
          <w:rFonts w:hint="eastAsia" w:ascii="黑体" w:hAnsi="黑体" w:eastAsia="黑体" w:cs="黑体"/>
          <w:color w:val="auto"/>
          <w:sz w:val="32"/>
          <w:szCs w:val="32"/>
        </w:rPr>
      </w:pPr>
      <w:bookmarkStart w:id="47" w:name="_Toc22783_WPSOffice_Level2"/>
      <w:bookmarkStart w:id="48" w:name="_Toc25166_WPSOffice_Level2"/>
      <w:bookmarkStart w:id="49" w:name="_Toc7879_WPSOffice_Level2"/>
      <w:bookmarkStart w:id="50" w:name="_Toc23829_WPSOffice_Level2"/>
      <w:bookmarkStart w:id="51" w:name="_Toc13516_WPSOffice_Level2"/>
      <w:bookmarkStart w:id="52" w:name="_Toc2158_WPSOffice_Level2"/>
      <w:r>
        <w:rPr>
          <w:rFonts w:hint="eastAsia" w:ascii="黑体" w:hAnsi="黑体" w:eastAsia="黑体" w:cs="黑体"/>
          <w:color w:val="auto"/>
          <w:sz w:val="32"/>
          <w:szCs w:val="32"/>
        </w:rPr>
        <w:t>五、一般公共预算财政拨款收入支出决算</w:t>
      </w:r>
      <w:bookmarkEnd w:id="47"/>
      <w:bookmarkEnd w:id="48"/>
      <w:bookmarkEnd w:id="49"/>
      <w:bookmarkEnd w:id="50"/>
      <w:r>
        <w:rPr>
          <w:rFonts w:hint="eastAsia" w:ascii="黑体" w:hAnsi="黑体" w:eastAsia="黑体" w:cs="黑体"/>
          <w:color w:val="auto"/>
          <w:sz w:val="32"/>
          <w:szCs w:val="32"/>
        </w:rPr>
        <w:t>公开表</w:t>
      </w:r>
      <w:bookmarkEnd w:id="51"/>
      <w:bookmarkEnd w:id="52"/>
      <w:bookmarkStart w:id="53" w:name="_Toc2632_WPSOffice_Level2"/>
      <w:bookmarkStart w:id="54" w:name="_Toc17833_WPSOffice_Level2"/>
      <w:bookmarkStart w:id="55" w:name="_Toc8373_WPSOffice_Level2"/>
      <w:bookmarkStart w:id="56" w:name="_Toc5343_WPSOffice_Level2"/>
      <w:bookmarkStart w:id="57" w:name="_Toc17283_WPSOffice_Level2"/>
      <w:bookmarkStart w:id="58" w:name="_Toc25362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3"/>
      <w:bookmarkEnd w:id="54"/>
      <w:bookmarkEnd w:id="55"/>
      <w:bookmarkEnd w:id="56"/>
      <w:bookmarkEnd w:id="57"/>
      <w:bookmarkEnd w:id="58"/>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bookmarkStart w:id="59" w:name="_Toc1533_WPSOffice_Level2"/>
      <w:bookmarkStart w:id="60" w:name="_Toc11799_WPSOffice_Level2"/>
      <w:bookmarkStart w:id="61" w:name="_Toc21310_WPSOffice_Level2"/>
      <w:bookmarkStart w:id="62" w:name="_Toc13345_WPSOffice_Level2"/>
      <w:bookmarkStart w:id="63" w:name="_Toc5594_WPSOffice_Level2"/>
      <w:bookmarkStart w:id="64" w:name="_Toc6020_WPSOffice_Level2"/>
      <w:r>
        <w:rPr>
          <w:rFonts w:hint="eastAsia" w:ascii="黑体" w:hAnsi="黑体" w:eastAsia="黑体" w:cs="黑体"/>
          <w:color w:val="auto"/>
          <w:sz w:val="32"/>
          <w:szCs w:val="32"/>
        </w:rPr>
        <w:t>七、政府性基金预算财政拨款收入支出决算</w:t>
      </w:r>
      <w:bookmarkEnd w:id="59"/>
      <w:bookmarkEnd w:id="60"/>
      <w:bookmarkEnd w:id="61"/>
      <w:bookmarkEnd w:id="62"/>
      <w:bookmarkEnd w:id="63"/>
      <w:bookmarkEnd w:id="64"/>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pPr>
        <w:spacing w:line="578" w:lineRule="exact"/>
        <w:ind w:firstLine="640"/>
        <w:rPr>
          <w:rFonts w:hint="eastAsia" w:ascii="黑体" w:hAnsi="黑体" w:eastAsia="黑体" w:cs="黑体"/>
          <w:color w:val="auto"/>
          <w:sz w:val="32"/>
          <w:szCs w:val="32"/>
        </w:rPr>
      </w:pPr>
      <w:bookmarkStart w:id="65" w:name="_Toc19961_WPSOffice_Level2"/>
      <w:bookmarkStart w:id="66" w:name="_Toc1820_WPSOffice_Level2"/>
      <w:bookmarkStart w:id="67" w:name="_Toc29886_WPSOffice_Level2"/>
      <w:bookmarkStart w:id="68" w:name="_Toc9377_WPSOffice_Level2"/>
      <w:r>
        <w:rPr>
          <w:rFonts w:hint="eastAsia" w:ascii="黑体" w:hAnsi="黑体" w:eastAsia="黑体" w:cs="黑体"/>
          <w:color w:val="auto"/>
          <w:sz w:val="32"/>
          <w:szCs w:val="32"/>
        </w:rPr>
        <w:t>九、财政拨款“三公”经费支出决算</w:t>
      </w:r>
      <w:bookmarkEnd w:id="65"/>
      <w:bookmarkEnd w:id="66"/>
      <w:bookmarkEnd w:id="67"/>
      <w:bookmarkEnd w:id="68"/>
      <w:r>
        <w:rPr>
          <w:rFonts w:hint="eastAsia" w:ascii="黑体" w:hAnsi="黑体" w:eastAsia="黑体" w:cs="黑体"/>
          <w:color w:val="auto"/>
          <w:sz w:val="32"/>
          <w:szCs w:val="32"/>
        </w:rPr>
        <w:t>公开表</w:t>
      </w:r>
    </w:p>
    <w:p>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pPr>
        <w:spacing w:line="578" w:lineRule="exact"/>
        <w:rPr>
          <w:rFonts w:hint="eastAsia" w:ascii="黑体" w:hAnsi="黑体" w:eastAsia="黑体" w:cs="黑体"/>
          <w:color w:val="auto"/>
          <w:sz w:val="32"/>
          <w:szCs w:val="32"/>
        </w:rPr>
      </w:pPr>
    </w:p>
    <w:p>
      <w:pPr>
        <w:spacing w:line="578" w:lineRule="exact"/>
        <w:jc w:val="center"/>
        <w:outlineLvl w:val="0"/>
        <w:rPr>
          <w:rFonts w:hint="eastAsia" w:ascii="黑体" w:hAnsi="ˎ̥" w:eastAsia="黑体"/>
          <w:color w:val="auto"/>
          <w:sz w:val="32"/>
          <w:szCs w:val="32"/>
        </w:rPr>
      </w:pPr>
      <w:bookmarkStart w:id="69" w:name="_Toc28629_WPSOffice_Level1"/>
      <w:bookmarkStart w:id="70" w:name="_Toc837673902"/>
      <w:bookmarkStart w:id="71" w:name="_Toc16686_WPSOffice_Level1"/>
      <w:bookmarkStart w:id="72" w:name="_Toc31264_WPSOffice_Level1"/>
      <w:bookmarkStart w:id="73" w:name="_Toc29683_WPSOffice_Level1"/>
      <w:bookmarkStart w:id="74" w:name="_Toc4402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bookmarkEnd w:id="69"/>
      <w:bookmarkEnd w:id="70"/>
      <w:bookmarkEnd w:id="71"/>
      <w:bookmarkEnd w:id="72"/>
      <w:bookmarkEnd w:id="73"/>
      <w:bookmarkEnd w:id="74"/>
    </w:p>
    <w:p>
      <w:pPr>
        <w:spacing w:line="578" w:lineRule="exact"/>
        <w:jc w:val="center"/>
        <w:rPr>
          <w:rFonts w:hint="eastAsia" w:ascii="黑体" w:hAnsi="ˎ̥" w:eastAsia="黑体"/>
          <w:color w:val="auto"/>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5" w:name="_Toc1601103968"/>
      <w:r>
        <w:rPr>
          <w:rFonts w:hint="eastAsia" w:ascii="黑体" w:hAnsi="黑体" w:eastAsia="黑体" w:cs="黑体"/>
          <w:bCs/>
          <w:color w:val="auto"/>
          <w:sz w:val="32"/>
          <w:szCs w:val="32"/>
        </w:rPr>
        <w:t>收入支出总体情况说明</w:t>
      </w:r>
      <w:bookmarkEnd w:id="75"/>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年度相比，收入、支出总计各减少</w:t>
      </w:r>
      <w:r>
        <w:rPr>
          <w:rFonts w:hint="eastAsia" w:ascii="仿宋" w:hAnsi="仿宋" w:eastAsia="仿宋" w:cs="仿宋"/>
          <w:color w:val="auto"/>
          <w:sz w:val="32"/>
          <w:szCs w:val="32"/>
          <w:lang w:val="en-US" w:eastAsia="zh-CN"/>
        </w:rPr>
        <w:t>104.31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307.97</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eastAsia="zh-CN"/>
        </w:rPr>
        <w:t>本单位本年已撤销，收支主要是发放</w:t>
      </w:r>
      <w:r>
        <w:rPr>
          <w:rFonts w:hint="eastAsia" w:ascii="仿宋" w:hAnsi="仿宋" w:eastAsia="仿宋" w:cs="仿宋"/>
          <w:color w:val="auto"/>
          <w:sz w:val="32"/>
          <w:szCs w:val="32"/>
          <w:lang w:val="en-US" w:eastAsia="zh-CN"/>
        </w:rPr>
        <w:t>1-3月工资</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numPr>
          <w:ilvl w:val="0"/>
          <w:numId w:val="0"/>
        </w:numPr>
        <w:ind w:leftChars="0" w:firstLine="640" w:firstLineChars="200"/>
        <w:rPr>
          <w:rFonts w:hint="eastAsia" w:ascii="宋体" w:hAnsi="宋体" w:eastAsia="宋体" w:cs="宋体"/>
          <w:color w:val="auto"/>
          <w:sz w:val="32"/>
          <w:szCs w:val="32"/>
          <w:lang w:eastAsia="zh-CN"/>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w:t>
      </w:r>
      <w:r>
        <w:rPr>
          <w:rFonts w:hint="eastAsia" w:ascii="宋体" w:hAnsi="宋体" w:eastAsia="宋体" w:cs="宋体"/>
          <w:color w:val="auto"/>
          <w:sz w:val="32"/>
          <w:szCs w:val="32"/>
        </w:rPr>
        <w:t>其中：财政拨款收入</w:t>
      </w:r>
      <w:r>
        <w:rPr>
          <w:rFonts w:hint="eastAsia" w:ascii="宋体" w:hAnsi="宋体" w:eastAsia="宋体" w:cs="宋体"/>
          <w:color w:val="auto"/>
          <w:sz w:val="32"/>
          <w:szCs w:val="32"/>
          <w:lang w:val="en-US" w:eastAsia="zh-CN"/>
        </w:rPr>
        <w:t>33.87</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100</w:t>
      </w:r>
      <w:r>
        <w:rPr>
          <w:rFonts w:hint="eastAsia" w:ascii="宋体" w:hAnsi="宋体" w:eastAsia="宋体" w:cs="宋体"/>
          <w:color w:val="auto"/>
          <w:sz w:val="32"/>
          <w:szCs w:val="32"/>
        </w:rPr>
        <w:t>%</w:t>
      </w:r>
      <w:r>
        <w:rPr>
          <w:rFonts w:hint="eastAsia" w:ascii="宋体" w:hAnsi="宋体" w:eastAsia="宋体" w:cs="宋体"/>
          <w:color w:val="auto"/>
          <w:sz w:val="32"/>
          <w:szCs w:val="32"/>
          <w:lang w:eastAsia="zh-CN"/>
        </w:rPr>
        <w:t>。</w:t>
      </w:r>
    </w:p>
    <w:p>
      <w:pPr>
        <w:numPr>
          <w:ilvl w:val="0"/>
          <w:numId w:val="0"/>
        </w:numPr>
        <w:ind w:leftChars="0" w:firstLine="640" w:firstLineChars="200"/>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numPr>
          <w:ilvl w:val="0"/>
          <w:numId w:val="0"/>
        </w:numPr>
        <w:ind w:leftChars="0" w:firstLine="640" w:firstLineChars="200"/>
        <w:rPr>
          <w:rFonts w:hint="eastAsia" w:ascii="宋体" w:hAnsi="宋体" w:eastAsia="宋体" w:cs="宋体"/>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w:t>
      </w:r>
      <w:r>
        <w:rPr>
          <w:rFonts w:hint="eastAsia" w:ascii="宋体" w:hAnsi="宋体" w:eastAsia="宋体" w:cs="宋体"/>
          <w:color w:val="auto"/>
          <w:sz w:val="32"/>
          <w:szCs w:val="32"/>
        </w:rPr>
        <w:t>其中：</w:t>
      </w:r>
      <w:r>
        <w:rPr>
          <w:rFonts w:hint="eastAsia" w:ascii="宋体" w:hAnsi="宋体" w:eastAsia="宋体" w:cs="宋体"/>
          <w:color w:val="auto"/>
          <w:sz w:val="32"/>
          <w:szCs w:val="32"/>
          <w:lang w:eastAsia="zh-CN"/>
        </w:rPr>
        <w:t>基本支出</w:t>
      </w:r>
      <w:r>
        <w:rPr>
          <w:rFonts w:hint="eastAsia" w:ascii="宋体" w:hAnsi="宋体" w:eastAsia="宋体" w:cs="宋体"/>
          <w:color w:val="auto"/>
          <w:sz w:val="32"/>
          <w:szCs w:val="32"/>
          <w:lang w:val="en-US" w:eastAsia="zh-CN"/>
        </w:rPr>
        <w:t>138.18</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100</w:t>
      </w:r>
      <w:r>
        <w:rPr>
          <w:rFonts w:hint="eastAsia" w:ascii="宋体" w:hAnsi="宋体" w:eastAsia="宋体" w:cs="宋体"/>
          <w:color w:val="auto"/>
          <w:sz w:val="32"/>
          <w:szCs w:val="32"/>
        </w:rPr>
        <w:t>%</w:t>
      </w:r>
      <w:r>
        <w:rPr>
          <w:rFonts w:hint="eastAsia" w:ascii="宋体" w:hAnsi="宋体" w:eastAsia="宋体" w:cs="宋体"/>
          <w:color w:val="auto"/>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黑体" w:hAnsi="黑体" w:eastAsia="黑体" w:cs="黑体"/>
          <w:bCs/>
          <w:color w:val="auto"/>
          <w:sz w:val="32"/>
          <w:szCs w:val="32"/>
        </w:rPr>
      </w:pPr>
      <w:bookmarkStart w:id="76" w:name="_Toc1146128678"/>
      <w:r>
        <w:rPr>
          <w:rFonts w:hint="eastAsia" w:ascii="黑体" w:hAnsi="黑体" w:eastAsia="黑体" w:cs="黑体"/>
          <w:bCs/>
          <w:color w:val="auto"/>
          <w:sz w:val="32"/>
          <w:szCs w:val="32"/>
        </w:rPr>
        <w:t>收入决算情况说明</w:t>
      </w:r>
      <w:bookmarkEnd w:id="7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
          <w:color w:val="auto"/>
          <w:sz w:val="32"/>
          <w:szCs w:val="32"/>
          <w:lang w:eastAsia="zh-CN"/>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7" w:name="_Toc115171423"/>
      <w:r>
        <w:rPr>
          <w:rFonts w:hint="eastAsia" w:ascii="黑体" w:hAnsi="黑体" w:eastAsia="黑体" w:cs="黑体"/>
          <w:bCs/>
          <w:color w:val="auto"/>
          <w:sz w:val="32"/>
          <w:szCs w:val="32"/>
        </w:rPr>
        <w:t>三、支出决算情况说明</w:t>
      </w:r>
      <w:bookmarkEnd w:id="77"/>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8" w:name="_Toc1907691497"/>
      <w:r>
        <w:rPr>
          <w:rFonts w:hint="eastAsia" w:ascii="黑体" w:hAnsi="黑体" w:eastAsia="黑体" w:cs="黑体"/>
          <w:bCs/>
          <w:color w:val="auto"/>
          <w:sz w:val="32"/>
          <w:szCs w:val="32"/>
        </w:rPr>
        <w:t>四、财政拨款收入支出决算总体情况说明</w:t>
      </w:r>
      <w:bookmarkEnd w:id="7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年度相比，收入、支出总计各减少</w:t>
      </w:r>
      <w:r>
        <w:rPr>
          <w:rFonts w:hint="eastAsia" w:ascii="仿宋" w:hAnsi="仿宋" w:eastAsia="仿宋" w:cs="仿宋"/>
          <w:color w:val="auto"/>
          <w:sz w:val="32"/>
          <w:szCs w:val="32"/>
          <w:lang w:val="en-US" w:eastAsia="zh-CN"/>
        </w:rPr>
        <w:t>104.31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307.97</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eastAsia="zh-CN"/>
        </w:rPr>
        <w:t>本单位本年已撤销，收支主要是发放</w:t>
      </w:r>
      <w:r>
        <w:rPr>
          <w:rFonts w:hint="eastAsia" w:ascii="仿宋" w:hAnsi="仿宋" w:eastAsia="仿宋" w:cs="仿宋"/>
          <w:color w:val="auto"/>
          <w:sz w:val="32"/>
          <w:szCs w:val="32"/>
          <w:lang w:val="en-US" w:eastAsia="zh-CN"/>
        </w:rPr>
        <w:t>1-3月工资</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9" w:name="_Toc1300245736"/>
      <w:r>
        <w:rPr>
          <w:rFonts w:hint="eastAsia" w:ascii="黑体" w:hAnsi="黑体" w:eastAsia="黑体" w:cs="黑体"/>
          <w:bCs/>
          <w:color w:val="auto"/>
          <w:sz w:val="32"/>
          <w:szCs w:val="32"/>
        </w:rPr>
        <w:t>五、一般公共预算财政拨款支出决算情况说明</w:t>
      </w:r>
      <w:bookmarkEnd w:id="7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0" w:name="_Toc23005_WPSOffice_Level2"/>
      <w:bookmarkStart w:id="81" w:name="_Toc13694_WPSOffice_Level2"/>
      <w:bookmarkStart w:id="82" w:name="_Toc19665_WPSOffice_Level2"/>
      <w:bookmarkStart w:id="83" w:name="_Toc17398_WPSOffice_Level2"/>
      <w:bookmarkStart w:id="84" w:name="_Toc9989_WPSOffice_Level2"/>
      <w:r>
        <w:rPr>
          <w:rFonts w:hint="eastAsia" w:ascii="楷体" w:hAnsi="楷体" w:eastAsia="楷体" w:cs="楷体"/>
          <w:color w:val="auto"/>
          <w:sz w:val="32"/>
          <w:szCs w:val="32"/>
        </w:rPr>
        <w:t>（一）一般公共预算财政拨款支出决算总体情况</w:t>
      </w:r>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年度相比，一般公共预算财政拨款支出减少</w:t>
      </w:r>
      <w:r>
        <w:rPr>
          <w:rFonts w:hint="eastAsia" w:ascii="仿宋" w:hAnsi="仿宋" w:eastAsia="仿宋" w:cs="仿宋"/>
          <w:color w:val="auto"/>
          <w:sz w:val="32"/>
          <w:szCs w:val="32"/>
          <w:lang w:val="en-US" w:eastAsia="zh-CN"/>
        </w:rPr>
        <w:t>104.31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307.97</w:t>
      </w:r>
      <w:r>
        <w:rPr>
          <w:rFonts w:hint="eastAsia" w:ascii="仿宋" w:hAnsi="仿宋" w:eastAsia="仿宋" w:cs="仿宋"/>
          <w:color w:val="auto"/>
          <w:sz w:val="32"/>
          <w:szCs w:val="32"/>
        </w:rPr>
        <w:t>%，主要原因是</w:t>
      </w:r>
      <w:r>
        <w:rPr>
          <w:rFonts w:hint="eastAsia" w:ascii="仿宋" w:hAnsi="仿宋" w:eastAsia="仿宋" w:cs="仿宋"/>
          <w:color w:val="auto"/>
          <w:sz w:val="32"/>
          <w:szCs w:val="32"/>
          <w:lang w:eastAsia="zh-CN"/>
        </w:rPr>
        <w:t>本单位本年已撤销，支出主要是发放</w:t>
      </w:r>
      <w:r>
        <w:rPr>
          <w:rFonts w:hint="eastAsia" w:ascii="仿宋" w:hAnsi="仿宋" w:eastAsia="仿宋" w:cs="仿宋"/>
          <w:color w:val="auto"/>
          <w:sz w:val="32"/>
          <w:szCs w:val="32"/>
          <w:lang w:val="en-US" w:eastAsia="zh-CN"/>
        </w:rPr>
        <w:t>1-3月工资</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5" w:name="_Toc23864_WPSOffice_Level2"/>
      <w:bookmarkStart w:id="86" w:name="_Toc18793_WPSOffice_Level2"/>
      <w:bookmarkStart w:id="87" w:name="_Toc19075_WPSOffice_Level2"/>
      <w:bookmarkStart w:id="88" w:name="_Toc2711_WPSOffice_Level2"/>
      <w:bookmarkStart w:id="89" w:name="_Toc27767_WPSOffice_Level2"/>
      <w:r>
        <w:rPr>
          <w:rFonts w:hint="eastAsia" w:ascii="楷体" w:hAnsi="楷体" w:eastAsia="楷体" w:cs="楷体"/>
          <w:color w:val="auto"/>
          <w:sz w:val="32"/>
          <w:szCs w:val="32"/>
        </w:rPr>
        <w:t>（二）一般公共预算财政拨款支出决算结构情况</w:t>
      </w:r>
      <w:bookmarkEnd w:id="85"/>
      <w:bookmarkEnd w:id="86"/>
      <w:bookmarkEnd w:id="87"/>
      <w:bookmarkEnd w:id="88"/>
      <w:bookmarkEnd w:id="8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万元，主要用于以下方面：</w:t>
      </w:r>
      <w:r>
        <w:rPr>
          <w:rFonts w:hint="eastAsia" w:ascii="仿宋" w:hAnsi="仿宋" w:eastAsia="仿宋" w:cs="仿宋"/>
          <w:b/>
          <w:color w:val="auto"/>
          <w:sz w:val="32"/>
          <w:szCs w:val="32"/>
        </w:rPr>
        <w:t>一般公共服务（类）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26.53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78.33</w:t>
      </w:r>
      <w:r>
        <w:rPr>
          <w:rFonts w:hint="eastAsia" w:ascii="仿宋" w:hAnsi="仿宋" w:eastAsia="仿宋" w:cs="仿宋"/>
          <w:color w:val="auto"/>
          <w:sz w:val="32"/>
          <w:szCs w:val="32"/>
        </w:rPr>
        <w:t>%；</w:t>
      </w:r>
      <w:r>
        <w:rPr>
          <w:rFonts w:hint="eastAsia" w:ascii="仿宋" w:hAnsi="仿宋" w:eastAsia="仿宋" w:cs="仿宋"/>
          <w:b/>
          <w:color w:val="auto"/>
          <w:sz w:val="32"/>
          <w:szCs w:val="32"/>
        </w:rPr>
        <w:t>社会保障和就业（类）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4.09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12.08</w:t>
      </w:r>
      <w:r>
        <w:rPr>
          <w:rFonts w:hint="eastAsia" w:ascii="仿宋" w:hAnsi="仿宋" w:eastAsia="仿宋" w:cs="仿宋"/>
          <w:color w:val="auto"/>
          <w:sz w:val="32"/>
          <w:szCs w:val="32"/>
        </w:rPr>
        <w:t>%；</w:t>
      </w:r>
      <w:r>
        <w:rPr>
          <w:rFonts w:hint="eastAsia" w:ascii="仿宋" w:hAnsi="仿宋" w:eastAsia="仿宋" w:cs="仿宋"/>
          <w:b/>
          <w:bCs/>
          <w:color w:val="auto"/>
          <w:sz w:val="32"/>
          <w:szCs w:val="32"/>
          <w:lang w:eastAsia="zh-CN"/>
        </w:rPr>
        <w:t>卫生健康（类）</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lang w:val="en-US" w:eastAsia="zh-CN"/>
        </w:rPr>
        <w:t>0.95万元,占2.80%；</w:t>
      </w:r>
      <w:r>
        <w:rPr>
          <w:rFonts w:hint="eastAsia" w:ascii="仿宋" w:hAnsi="仿宋" w:eastAsia="仿宋" w:cs="仿宋"/>
          <w:b/>
          <w:bCs/>
          <w:color w:val="auto"/>
          <w:sz w:val="32"/>
          <w:szCs w:val="32"/>
        </w:rPr>
        <w:t>住房保障（类）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2.29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6.79</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90" w:name="_Toc25136_WPSOffice_Level2"/>
      <w:bookmarkStart w:id="91" w:name="_Toc21701_WPSOffice_Level2"/>
      <w:bookmarkStart w:id="92" w:name="_Toc15415_WPSOffice_Level2"/>
      <w:bookmarkStart w:id="93" w:name="_Toc29364_WPSOffice_Level2"/>
      <w:bookmarkStart w:id="94" w:name="_Toc9502_WPSOffice_Level2"/>
      <w:bookmarkStart w:id="95" w:name="_Toc22318_WPSOffice_Level2"/>
      <w:r>
        <w:rPr>
          <w:rFonts w:hint="eastAsia" w:ascii="楷体" w:hAnsi="楷体" w:eastAsia="楷体" w:cs="楷体"/>
          <w:color w:val="auto"/>
          <w:sz w:val="32"/>
          <w:szCs w:val="32"/>
        </w:rPr>
        <w:t>（三）一般公共预算财政拨款支出决算具体情况</w:t>
      </w:r>
      <w:bookmarkEnd w:id="90"/>
      <w:bookmarkEnd w:id="91"/>
      <w:bookmarkEnd w:id="92"/>
      <w:bookmarkEnd w:id="93"/>
      <w:bookmarkEnd w:id="94"/>
      <w:bookmarkEnd w:id="95"/>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eastAsia" w:ascii="仿宋" w:hAnsi="仿宋" w:eastAsia="仿宋" w:cs="仿宋"/>
          <w:color w:val="auto"/>
          <w:sz w:val="32"/>
          <w:szCs w:val="32"/>
          <w:lang w:val="en-US" w:eastAsia="zh-CN"/>
        </w:rPr>
        <w:t>129.74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26.11</w:t>
      </w:r>
      <w:r>
        <w:rPr>
          <w:rFonts w:hint="eastAsia" w:ascii="仿宋" w:hAnsi="仿宋" w:eastAsia="仿宋" w:cs="仿宋"/>
          <w:color w:val="auto"/>
          <w:sz w:val="32"/>
          <w:szCs w:val="32"/>
        </w:rPr>
        <w:t>%。其中：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color w:val="auto"/>
          <w:sz w:val="32"/>
          <w:szCs w:val="32"/>
        </w:rPr>
      </w:pPr>
      <w:r>
        <w:rPr>
          <w:rFonts w:hint="eastAsia" w:ascii="仿宋_GB2312" w:hAnsi="ˎ̥" w:eastAsia="仿宋_GB2312"/>
          <w:color w:val="auto"/>
          <w:sz w:val="32"/>
          <w:szCs w:val="32"/>
        </w:rPr>
        <w:t>1.</w:t>
      </w:r>
      <w:r>
        <w:rPr>
          <w:rFonts w:hint="eastAsia" w:ascii="仿宋_GB2312" w:hAnsi="ˎ̥" w:eastAsia="仿宋_GB2312"/>
          <w:b/>
          <w:color w:val="auto"/>
          <w:sz w:val="32"/>
          <w:szCs w:val="32"/>
        </w:rPr>
        <w:t>一般公共服务（类）</w:t>
      </w:r>
      <w:r>
        <w:rPr>
          <w:rFonts w:hint="eastAsia" w:ascii="仿宋_GB2312" w:hAnsi="ˎ̥" w:eastAsia="仿宋_GB2312"/>
          <w:b/>
          <w:color w:val="auto"/>
          <w:sz w:val="32"/>
          <w:szCs w:val="32"/>
          <w:lang w:eastAsia="zh-CN"/>
        </w:rPr>
        <w:t>财政</w:t>
      </w:r>
      <w:r>
        <w:rPr>
          <w:rFonts w:hint="eastAsia" w:ascii="仿宋_GB2312" w:hAnsi="ˎ̥" w:eastAsia="仿宋_GB2312"/>
          <w:b/>
          <w:color w:val="auto"/>
          <w:sz w:val="32"/>
          <w:szCs w:val="32"/>
        </w:rPr>
        <w:t>事务（款）</w:t>
      </w:r>
      <w:r>
        <w:rPr>
          <w:rFonts w:hint="eastAsia" w:ascii="仿宋_GB2312" w:hAnsi="ˎ̥" w:eastAsia="仿宋_GB2312"/>
          <w:b/>
          <w:color w:val="auto"/>
          <w:sz w:val="32"/>
          <w:szCs w:val="32"/>
          <w:lang w:eastAsia="zh-CN"/>
        </w:rPr>
        <w:t>事业</w:t>
      </w:r>
      <w:r>
        <w:rPr>
          <w:rFonts w:hint="eastAsia" w:ascii="仿宋_GB2312" w:hAnsi="ˎ̥" w:eastAsia="仿宋_GB2312"/>
          <w:b/>
          <w:color w:val="auto"/>
          <w:sz w:val="32"/>
          <w:szCs w:val="32"/>
        </w:rPr>
        <w:t>运行（项）。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100.05</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26.53</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26.52</w:t>
      </w:r>
      <w:r>
        <w:rPr>
          <w:rFonts w:hint="eastAsia" w:ascii="宋体" w:hAnsi="宋体" w:eastAsia="宋体" w:cs="宋体"/>
          <w:color w:val="auto"/>
          <w:sz w:val="32"/>
          <w:szCs w:val="32"/>
        </w:rPr>
        <w:t>%。决算数小于预算数的主要原因：是</w:t>
      </w:r>
      <w:r>
        <w:rPr>
          <w:rFonts w:hint="eastAsia" w:ascii="宋体" w:hAnsi="宋体" w:eastAsia="宋体" w:cs="宋体"/>
          <w:color w:val="auto"/>
          <w:sz w:val="32"/>
          <w:szCs w:val="32"/>
          <w:lang w:eastAsia="zh-CN"/>
        </w:rPr>
        <w:t>本单位本年已撤销，支出主要是发放</w:t>
      </w:r>
      <w:r>
        <w:rPr>
          <w:rFonts w:hint="eastAsia" w:ascii="宋体" w:hAnsi="宋体" w:eastAsia="宋体" w:cs="宋体"/>
          <w:color w:val="auto"/>
          <w:sz w:val="32"/>
          <w:szCs w:val="32"/>
          <w:lang w:val="en-US" w:eastAsia="zh-CN"/>
        </w:rPr>
        <w:t>1-3月工资</w:t>
      </w:r>
      <w:r>
        <w:rPr>
          <w:rFonts w:hint="eastAsia" w:ascii="宋体" w:hAnsi="宋体" w:eastAsia="宋体" w:cs="宋体"/>
          <w:color w:val="auto"/>
          <w:sz w:val="32"/>
          <w:szCs w:val="32"/>
        </w:rPr>
        <w:t>。</w:t>
      </w:r>
    </w:p>
    <w:p>
      <w:pPr>
        <w:numPr>
          <w:ilvl w:val="0"/>
          <w:numId w:val="0"/>
        </w:numPr>
        <w:ind w:firstLine="642" w:firstLineChars="200"/>
        <w:rPr>
          <w:rFonts w:hint="eastAsia" w:ascii="仿宋_GB2312" w:hAnsi="ˎ̥" w:eastAsia="仿宋_GB2312"/>
          <w:b/>
          <w:color w:val="auto"/>
          <w:sz w:val="32"/>
          <w:szCs w:val="32"/>
        </w:rPr>
      </w:pPr>
      <w:r>
        <w:rPr>
          <w:rFonts w:hint="eastAsia" w:ascii="仿宋_GB2312" w:hAnsi="ˎ̥" w:eastAsia="仿宋_GB2312"/>
          <w:b/>
          <w:color w:val="auto"/>
          <w:sz w:val="32"/>
          <w:szCs w:val="32"/>
          <w:lang w:val="en-US" w:eastAsia="zh-CN"/>
        </w:rPr>
        <w:t>2.</w:t>
      </w:r>
      <w:r>
        <w:rPr>
          <w:rFonts w:hint="eastAsia" w:ascii="仿宋_GB2312" w:hAnsi="ˎ̥" w:eastAsia="仿宋_GB2312"/>
          <w:b/>
          <w:color w:val="auto"/>
          <w:sz w:val="32"/>
          <w:szCs w:val="32"/>
        </w:rPr>
        <w:t>社会保障和就业（类）</w:t>
      </w:r>
      <w:r>
        <w:rPr>
          <w:rFonts w:hint="eastAsia" w:ascii="仿宋_GB2312" w:hAnsi="ˎ̥" w:eastAsia="仿宋_GB2312"/>
          <w:b/>
          <w:color w:val="auto"/>
          <w:sz w:val="32"/>
          <w:szCs w:val="32"/>
          <w:lang w:eastAsia="zh-CN"/>
        </w:rPr>
        <w:t>行政事业单位养老</w:t>
      </w:r>
      <w:r>
        <w:rPr>
          <w:rFonts w:hint="eastAsia" w:ascii="仿宋_GB2312" w:hAnsi="ˎ̥" w:eastAsia="仿宋_GB2312"/>
          <w:b/>
          <w:color w:val="auto"/>
          <w:sz w:val="32"/>
          <w:szCs w:val="32"/>
        </w:rPr>
        <w:t>（款）机关事业单位基本养老保险缴费（项）。</w:t>
      </w:r>
    </w:p>
    <w:p>
      <w:pPr>
        <w:numPr>
          <w:ilvl w:val="0"/>
          <w:numId w:val="0"/>
        </w:numPr>
        <w:ind w:firstLine="640" w:firstLineChars="200"/>
        <w:rPr>
          <w:rFonts w:hint="eastAsia" w:ascii="仿宋_GB2312" w:hAnsi="ˎ̥" w:eastAsia="仿宋_GB2312"/>
          <w:color w:val="auto"/>
          <w:sz w:val="32"/>
          <w:szCs w:val="32"/>
          <w:lang w:val="en-US" w:eastAsia="zh-CN"/>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11.04</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2.73</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24.73</w:t>
      </w:r>
      <w:r>
        <w:rPr>
          <w:rFonts w:hint="eastAsia" w:ascii="宋体" w:hAnsi="宋体" w:eastAsia="宋体" w:cs="宋体"/>
          <w:color w:val="auto"/>
          <w:sz w:val="32"/>
          <w:szCs w:val="32"/>
        </w:rPr>
        <w:t>%。决算数</w:t>
      </w:r>
      <w:r>
        <w:rPr>
          <w:rFonts w:hint="eastAsia" w:ascii="宋体" w:hAnsi="宋体" w:eastAsia="宋体" w:cs="宋体"/>
          <w:color w:val="auto"/>
          <w:sz w:val="32"/>
          <w:szCs w:val="32"/>
          <w:lang w:eastAsia="zh-CN"/>
        </w:rPr>
        <w:t>小</w:t>
      </w:r>
      <w:r>
        <w:rPr>
          <w:rFonts w:hint="eastAsia" w:ascii="宋体" w:hAnsi="宋体" w:eastAsia="宋体" w:cs="宋体"/>
          <w:color w:val="auto"/>
          <w:sz w:val="32"/>
          <w:szCs w:val="32"/>
        </w:rPr>
        <w:t>于预算数的主要原因</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是</w:t>
      </w:r>
      <w:r>
        <w:rPr>
          <w:rFonts w:hint="eastAsia" w:ascii="宋体" w:hAnsi="宋体" w:eastAsia="宋体" w:cs="宋体"/>
          <w:color w:val="auto"/>
          <w:sz w:val="32"/>
          <w:szCs w:val="32"/>
          <w:lang w:eastAsia="zh-CN"/>
        </w:rPr>
        <w:t>本单位本年已撤销，支出主要是发放</w:t>
      </w:r>
      <w:r>
        <w:rPr>
          <w:rFonts w:hint="eastAsia" w:ascii="宋体" w:hAnsi="宋体" w:eastAsia="宋体" w:cs="宋体"/>
          <w:color w:val="auto"/>
          <w:sz w:val="32"/>
          <w:szCs w:val="32"/>
          <w:lang w:val="en-US" w:eastAsia="zh-CN"/>
        </w:rPr>
        <w:t>1-3月工资</w:t>
      </w:r>
      <w:r>
        <w:rPr>
          <w:rFonts w:hint="eastAsia" w:ascii="宋体" w:hAnsi="宋体" w:eastAsia="宋体" w:cs="宋体"/>
          <w:color w:val="auto"/>
          <w:sz w:val="32"/>
          <w:szCs w:val="32"/>
        </w:rPr>
        <w:t>。</w:t>
      </w:r>
    </w:p>
    <w:p>
      <w:pPr>
        <w:numPr>
          <w:ilvl w:val="0"/>
          <w:numId w:val="0"/>
        </w:numPr>
        <w:ind w:firstLine="642" w:firstLineChars="200"/>
        <w:rPr>
          <w:rFonts w:hint="eastAsia" w:ascii="仿宋_GB2312" w:hAnsi="ˎ̥" w:eastAsia="仿宋_GB2312"/>
          <w:b/>
          <w:color w:val="auto"/>
          <w:sz w:val="32"/>
          <w:szCs w:val="32"/>
        </w:rPr>
      </w:pPr>
      <w:r>
        <w:rPr>
          <w:rFonts w:hint="eastAsia" w:ascii="仿宋_GB2312" w:hAnsi="ˎ̥" w:eastAsia="仿宋_GB2312"/>
          <w:b/>
          <w:color w:val="auto"/>
          <w:sz w:val="32"/>
          <w:szCs w:val="32"/>
          <w:lang w:val="en-US" w:eastAsia="zh-CN"/>
        </w:rPr>
        <w:t>3.</w:t>
      </w:r>
      <w:r>
        <w:rPr>
          <w:rFonts w:hint="eastAsia" w:ascii="仿宋_GB2312" w:hAnsi="ˎ̥" w:eastAsia="仿宋_GB2312"/>
          <w:b/>
          <w:color w:val="auto"/>
          <w:sz w:val="32"/>
          <w:szCs w:val="32"/>
        </w:rPr>
        <w:t>社会保障和就业（类）</w:t>
      </w:r>
      <w:r>
        <w:rPr>
          <w:rFonts w:hint="eastAsia" w:ascii="仿宋_GB2312" w:hAnsi="ˎ̥" w:eastAsia="仿宋_GB2312"/>
          <w:b/>
          <w:color w:val="auto"/>
          <w:sz w:val="32"/>
          <w:szCs w:val="32"/>
          <w:lang w:eastAsia="zh-CN"/>
        </w:rPr>
        <w:t>行政事业单位养老</w:t>
      </w:r>
      <w:r>
        <w:rPr>
          <w:rFonts w:hint="eastAsia" w:ascii="仿宋_GB2312" w:hAnsi="ˎ̥" w:eastAsia="仿宋_GB2312"/>
          <w:b/>
          <w:color w:val="auto"/>
          <w:sz w:val="32"/>
          <w:szCs w:val="32"/>
        </w:rPr>
        <w:t>（款）机关事业单位</w:t>
      </w:r>
      <w:r>
        <w:rPr>
          <w:rFonts w:hint="eastAsia" w:ascii="仿宋_GB2312" w:hAnsi="ˎ̥" w:eastAsia="仿宋_GB2312"/>
          <w:b/>
          <w:color w:val="auto"/>
          <w:sz w:val="32"/>
          <w:szCs w:val="32"/>
          <w:lang w:eastAsia="zh-CN"/>
        </w:rPr>
        <w:t>职业年金</w:t>
      </w:r>
      <w:r>
        <w:rPr>
          <w:rFonts w:hint="eastAsia" w:ascii="仿宋_GB2312" w:hAnsi="ˎ̥" w:eastAsia="仿宋_GB2312"/>
          <w:b/>
          <w:color w:val="auto"/>
          <w:sz w:val="32"/>
          <w:szCs w:val="32"/>
        </w:rPr>
        <w:t>缴费（项）。</w:t>
      </w:r>
    </w:p>
    <w:p>
      <w:pPr>
        <w:numPr>
          <w:ilvl w:val="0"/>
          <w:numId w:val="0"/>
        </w:numPr>
        <w:ind w:firstLine="640" w:firstLineChars="200"/>
        <w:rPr>
          <w:rFonts w:hint="default" w:ascii="仿宋_GB2312" w:hAnsi="ˎ̥" w:eastAsia="仿宋_GB2312"/>
          <w:color w:val="auto"/>
          <w:sz w:val="32"/>
          <w:szCs w:val="32"/>
          <w:lang w:val="en-US" w:eastAsia="zh-CN"/>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5.52</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1.36</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24.64</w:t>
      </w:r>
      <w:r>
        <w:rPr>
          <w:rFonts w:hint="eastAsia" w:ascii="宋体" w:hAnsi="宋体" w:eastAsia="宋体" w:cs="宋体"/>
          <w:color w:val="auto"/>
          <w:sz w:val="32"/>
          <w:szCs w:val="32"/>
        </w:rPr>
        <w:t>%。决算数</w:t>
      </w:r>
      <w:r>
        <w:rPr>
          <w:rFonts w:hint="eastAsia" w:ascii="宋体" w:hAnsi="宋体" w:eastAsia="宋体" w:cs="宋体"/>
          <w:color w:val="auto"/>
          <w:sz w:val="32"/>
          <w:szCs w:val="32"/>
          <w:lang w:eastAsia="zh-CN"/>
        </w:rPr>
        <w:t>小</w:t>
      </w:r>
      <w:r>
        <w:rPr>
          <w:rFonts w:hint="eastAsia" w:ascii="宋体" w:hAnsi="宋体" w:eastAsia="宋体" w:cs="宋体"/>
          <w:color w:val="auto"/>
          <w:sz w:val="32"/>
          <w:szCs w:val="32"/>
        </w:rPr>
        <w:t>于预算数的主要原因</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是</w:t>
      </w:r>
      <w:r>
        <w:rPr>
          <w:rFonts w:hint="eastAsia" w:ascii="宋体" w:hAnsi="宋体" w:eastAsia="宋体" w:cs="宋体"/>
          <w:color w:val="auto"/>
          <w:sz w:val="32"/>
          <w:szCs w:val="32"/>
          <w:lang w:eastAsia="zh-CN"/>
        </w:rPr>
        <w:t>本单位本年已撤销，支出主要是发放</w:t>
      </w:r>
      <w:r>
        <w:rPr>
          <w:rFonts w:hint="eastAsia" w:ascii="宋体" w:hAnsi="宋体" w:eastAsia="宋体" w:cs="宋体"/>
          <w:color w:val="auto"/>
          <w:sz w:val="32"/>
          <w:szCs w:val="32"/>
          <w:lang w:val="en-US" w:eastAsia="zh-CN"/>
        </w:rPr>
        <w:t>1-3月工资</w:t>
      </w:r>
      <w:r>
        <w:rPr>
          <w:rFonts w:hint="eastAsia" w:ascii="宋体" w:hAnsi="宋体" w:eastAsia="宋体" w:cs="宋体"/>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2" w:firstLineChars="200"/>
        <w:textAlignment w:val="auto"/>
        <w:rPr>
          <w:rFonts w:hint="eastAsia" w:ascii="仿宋_GB2312" w:hAnsi="ˎ̥" w:eastAsia="仿宋_GB2312"/>
          <w:b/>
          <w:color w:val="auto"/>
          <w:sz w:val="32"/>
          <w:szCs w:val="32"/>
        </w:rPr>
      </w:pPr>
      <w:r>
        <w:rPr>
          <w:rFonts w:hint="eastAsia" w:ascii="仿宋_GB2312" w:hAnsi="ˎ̥" w:eastAsia="仿宋_GB2312"/>
          <w:b/>
          <w:bCs/>
          <w:color w:val="auto"/>
          <w:sz w:val="32"/>
          <w:szCs w:val="32"/>
          <w:lang w:val="en-US" w:eastAsia="zh-CN"/>
        </w:rPr>
        <w:t>4.</w:t>
      </w:r>
      <w:r>
        <w:rPr>
          <w:rFonts w:hint="eastAsia" w:ascii="仿宋_GB2312" w:hAnsi="ˎ̥" w:eastAsia="仿宋_GB2312"/>
          <w:b/>
          <w:bCs/>
          <w:color w:val="auto"/>
          <w:sz w:val="32"/>
          <w:szCs w:val="32"/>
          <w:lang w:eastAsia="zh-CN"/>
        </w:rPr>
        <w:t>卫生健康</w:t>
      </w:r>
      <w:r>
        <w:rPr>
          <w:rFonts w:hint="eastAsia" w:ascii="仿宋_GB2312" w:hAnsi="ˎ̥" w:eastAsia="仿宋_GB2312"/>
          <w:b/>
          <w:color w:val="auto"/>
          <w:sz w:val="32"/>
          <w:szCs w:val="32"/>
        </w:rPr>
        <w:t>（类）</w:t>
      </w:r>
      <w:r>
        <w:rPr>
          <w:rFonts w:hint="eastAsia" w:ascii="仿宋_GB2312" w:hAnsi="ˎ̥" w:eastAsia="仿宋_GB2312"/>
          <w:b/>
          <w:color w:val="auto"/>
          <w:sz w:val="32"/>
          <w:szCs w:val="32"/>
          <w:lang w:eastAsia="zh-CN"/>
        </w:rPr>
        <w:t>行政事业单位医疗</w:t>
      </w:r>
      <w:r>
        <w:rPr>
          <w:rFonts w:hint="eastAsia" w:ascii="仿宋_GB2312" w:hAnsi="ˎ̥" w:eastAsia="仿宋_GB2312"/>
          <w:b/>
          <w:color w:val="auto"/>
          <w:sz w:val="32"/>
          <w:szCs w:val="32"/>
        </w:rPr>
        <w:t>（款）</w:t>
      </w:r>
      <w:r>
        <w:rPr>
          <w:rFonts w:hint="eastAsia" w:ascii="仿宋_GB2312" w:hAnsi="ˎ̥" w:eastAsia="仿宋_GB2312"/>
          <w:b/>
          <w:color w:val="auto"/>
          <w:sz w:val="32"/>
          <w:szCs w:val="32"/>
          <w:lang w:eastAsia="zh-CN"/>
        </w:rPr>
        <w:t>事业单位医疗</w:t>
      </w:r>
      <w:r>
        <w:rPr>
          <w:rFonts w:hint="eastAsia" w:ascii="仿宋_GB2312" w:hAnsi="ˎ̥" w:eastAsia="仿宋_GB2312"/>
          <w:b/>
          <w:color w:val="auto"/>
          <w:sz w:val="32"/>
          <w:szCs w:val="32"/>
        </w:rPr>
        <w:t>（项）。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仿宋"/>
          <w:color w:val="auto"/>
          <w:sz w:val="32"/>
          <w:szCs w:val="32"/>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3.76</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0.95</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25.27</w:t>
      </w:r>
      <w:r>
        <w:rPr>
          <w:rFonts w:hint="eastAsia" w:ascii="宋体" w:hAnsi="宋体" w:eastAsia="宋体" w:cs="宋体"/>
          <w:color w:val="auto"/>
          <w:sz w:val="32"/>
          <w:szCs w:val="32"/>
        </w:rPr>
        <w:t>%。决算数大于预算数的主要原因</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是</w:t>
      </w:r>
      <w:r>
        <w:rPr>
          <w:rFonts w:hint="eastAsia" w:ascii="宋体" w:hAnsi="宋体" w:eastAsia="宋体" w:cs="宋体"/>
          <w:color w:val="auto"/>
          <w:sz w:val="32"/>
          <w:szCs w:val="32"/>
          <w:lang w:eastAsia="zh-CN"/>
        </w:rPr>
        <w:t>本单位本年已撤销，支出主要是发放</w:t>
      </w:r>
      <w:r>
        <w:rPr>
          <w:rFonts w:hint="eastAsia" w:ascii="宋体" w:hAnsi="宋体" w:eastAsia="宋体" w:cs="宋体"/>
          <w:color w:val="auto"/>
          <w:sz w:val="32"/>
          <w:szCs w:val="32"/>
          <w:lang w:val="en-US" w:eastAsia="zh-CN"/>
        </w:rPr>
        <w:t>1-3月工资</w:t>
      </w:r>
      <w:r>
        <w:rPr>
          <w:rFonts w:hint="eastAsia" w:ascii="宋体" w:hAnsi="宋体" w:eastAsia="宋体" w:cs="宋体"/>
          <w:color w:val="auto"/>
          <w:sz w:val="32"/>
          <w:szCs w:val="32"/>
        </w:rPr>
        <w:t>。</w:t>
      </w:r>
    </w:p>
    <w:p>
      <w:pPr>
        <w:numPr>
          <w:ilvl w:val="0"/>
          <w:numId w:val="0"/>
        </w:numPr>
        <w:spacing w:line="360" w:lineRule="auto"/>
        <w:ind w:firstLine="642" w:firstLineChars="200"/>
        <w:rPr>
          <w:rFonts w:hint="eastAsia" w:ascii="仿宋_GB2312" w:hAnsi="ˎ̥" w:eastAsia="仿宋_GB2312"/>
          <w:b/>
          <w:color w:val="auto"/>
          <w:sz w:val="32"/>
          <w:szCs w:val="32"/>
        </w:rPr>
      </w:pPr>
      <w:r>
        <w:rPr>
          <w:rFonts w:hint="eastAsia" w:ascii="仿宋_GB2312" w:hAnsi="ˎ̥" w:eastAsia="仿宋_GB2312"/>
          <w:b/>
          <w:color w:val="auto"/>
          <w:sz w:val="32"/>
          <w:szCs w:val="32"/>
          <w:lang w:val="en-US" w:eastAsia="zh-CN"/>
        </w:rPr>
        <w:t>5.</w:t>
      </w:r>
      <w:r>
        <w:rPr>
          <w:rFonts w:hint="eastAsia" w:ascii="仿宋_GB2312" w:hAnsi="ˎ̥" w:eastAsia="仿宋_GB2312"/>
          <w:b/>
          <w:color w:val="auto"/>
          <w:sz w:val="32"/>
          <w:szCs w:val="32"/>
        </w:rPr>
        <w:t>住房保障支出（类）住房改革支出（款）住房公积金（项）。</w:t>
      </w:r>
    </w:p>
    <w:p>
      <w:pPr>
        <w:numPr>
          <w:ilvl w:val="0"/>
          <w:numId w:val="0"/>
        </w:numPr>
        <w:spacing w:line="360" w:lineRule="auto"/>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9.37</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2.29</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24.44</w:t>
      </w:r>
      <w:r>
        <w:rPr>
          <w:rFonts w:hint="eastAsia" w:ascii="宋体" w:hAnsi="宋体" w:eastAsia="宋体" w:cs="宋体"/>
          <w:color w:val="auto"/>
          <w:sz w:val="32"/>
          <w:szCs w:val="32"/>
        </w:rPr>
        <w:t>%。决算数大于预算数的主要原因</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是</w:t>
      </w:r>
      <w:r>
        <w:rPr>
          <w:rFonts w:hint="eastAsia" w:ascii="宋体" w:hAnsi="宋体" w:eastAsia="宋体" w:cs="宋体"/>
          <w:color w:val="auto"/>
          <w:sz w:val="32"/>
          <w:szCs w:val="32"/>
          <w:lang w:eastAsia="zh-CN"/>
        </w:rPr>
        <w:t>本单位本年已撤销，支出主要是发放</w:t>
      </w:r>
      <w:r>
        <w:rPr>
          <w:rFonts w:hint="eastAsia" w:ascii="宋体" w:hAnsi="宋体" w:eastAsia="宋体" w:cs="宋体"/>
          <w:color w:val="auto"/>
          <w:sz w:val="32"/>
          <w:szCs w:val="32"/>
          <w:lang w:val="en-US" w:eastAsia="zh-CN"/>
        </w:rPr>
        <w:t>1-3月工资</w:t>
      </w:r>
      <w:r>
        <w:rPr>
          <w:rFonts w:hint="eastAsia" w:ascii="宋体" w:hAnsi="宋体" w:eastAsia="宋体" w:cs="宋体"/>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color w:val="auto"/>
          <w:sz w:val="32"/>
          <w:szCs w:val="32"/>
        </w:rPr>
      </w:pPr>
      <w:bookmarkStart w:id="96" w:name="_Toc1285264527"/>
      <w:r>
        <w:rPr>
          <w:rFonts w:hint="eastAsia" w:ascii="黑体" w:hAnsi="黑体" w:eastAsia="黑体" w:cs="黑体"/>
          <w:bCs/>
          <w:color w:val="auto"/>
          <w:sz w:val="32"/>
          <w:szCs w:val="32"/>
        </w:rPr>
        <w:t>六、一般公共预算财政拨款基本支出决算情况说明</w:t>
      </w:r>
      <w:bookmarkEnd w:id="96"/>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33.87</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32.43</w:t>
      </w:r>
      <w:r>
        <w:rPr>
          <w:rFonts w:hint="eastAsia" w:ascii="仿宋" w:hAnsi="仿宋" w:eastAsia="仿宋" w:cs="仿宋"/>
          <w:color w:val="auto"/>
          <w:sz w:val="32"/>
          <w:szCs w:val="32"/>
        </w:rPr>
        <w:t>万元，主要包括：工资福利支出中的基本工资、津贴补贴、绩效工资、机关事业单位基本养老保险缴费、职业年金缴费、职工基本医疗保险缴费、其他社会保障缴费、住房公积金；对个人和家庭的补助中的奖励金、其他对个人和家庭的补助。公用经费</w:t>
      </w:r>
      <w:r>
        <w:rPr>
          <w:rFonts w:hint="eastAsia" w:ascii="仿宋" w:hAnsi="仿宋" w:eastAsia="仿宋" w:cs="仿宋"/>
          <w:color w:val="auto"/>
          <w:sz w:val="32"/>
          <w:szCs w:val="32"/>
          <w:lang w:val="en-US"/>
        </w:rPr>
        <w:t>1.44</w:t>
      </w:r>
      <w:r>
        <w:rPr>
          <w:rFonts w:hint="eastAsia" w:ascii="仿宋" w:hAnsi="仿宋" w:eastAsia="仿宋" w:cs="仿宋"/>
          <w:color w:val="auto"/>
          <w:sz w:val="32"/>
          <w:szCs w:val="32"/>
        </w:rPr>
        <w:t>万元，主要包括：</w:t>
      </w:r>
      <w:r>
        <w:rPr>
          <w:rFonts w:hint="eastAsia" w:ascii="仿宋" w:hAnsi="仿宋" w:eastAsia="仿宋" w:cs="仿宋"/>
          <w:color w:val="auto"/>
          <w:sz w:val="32"/>
          <w:szCs w:val="32"/>
          <w:highlight w:val="none"/>
        </w:rPr>
        <w:t>商品和服务支出中的邮电费、工会经费</w:t>
      </w:r>
      <w:r>
        <w:rPr>
          <w:rFonts w:hint="eastAsia" w:ascii="仿宋" w:hAnsi="仿宋" w:eastAsia="仿宋" w:cs="仿宋"/>
          <w:color w:val="auto"/>
          <w:sz w:val="32"/>
          <w:szCs w:val="32"/>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97" w:name="_Toc1155870669"/>
      <w:r>
        <w:rPr>
          <w:rFonts w:hint="eastAsia" w:ascii="黑体" w:hAnsi="黑体" w:eastAsia="黑体" w:cs="黑体"/>
          <w:bCs/>
          <w:color w:val="auto"/>
          <w:sz w:val="32"/>
          <w:szCs w:val="32"/>
        </w:rPr>
        <w:t>七、政府性基金预算财政拨款支出决算情况说明</w:t>
      </w:r>
      <w:bookmarkEnd w:id="97"/>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pPr>
        <w:numPr>
          <w:ilvl w:val="0"/>
          <w:numId w:val="0"/>
        </w:numPr>
        <w:tabs>
          <w:tab w:val="center" w:pos="4473"/>
        </w:tabs>
        <w:spacing w:line="360" w:lineRule="auto"/>
        <w:ind w:firstLine="640" w:firstLineChars="200"/>
        <w:rPr>
          <w:rFonts w:hint="eastAsia" w:ascii="仿宋_GB2312" w:hAnsi="ˎ̥" w:eastAsia="仿宋_GB2312"/>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98" w:name="_Toc630550299"/>
      <w:r>
        <w:rPr>
          <w:rFonts w:hint="eastAsia" w:ascii="黑体" w:hAnsi="黑体" w:eastAsia="黑体" w:cs="黑体"/>
          <w:bCs/>
          <w:color w:val="auto"/>
          <w:sz w:val="32"/>
          <w:szCs w:val="32"/>
        </w:rPr>
        <w:t>八、国有资本经营预算财政拨款支出决算情况说明</w:t>
      </w:r>
      <w:bookmarkEnd w:id="98"/>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仿宋_GB2312" w:hAnsi="ˎ̥" w:eastAsia="楷体_GB2312"/>
          <w:color w:val="auto"/>
          <w:sz w:val="32"/>
          <w:szCs w:val="32"/>
        </w:rPr>
      </w:pPr>
      <w:bookmarkStart w:id="99" w:name="_Toc1441376425"/>
      <w:r>
        <w:rPr>
          <w:rFonts w:hint="eastAsia" w:ascii="黑体" w:hAnsi="黑体" w:eastAsia="黑体" w:cs="黑体"/>
          <w:bCs/>
          <w:color w:val="auto"/>
          <w:sz w:val="32"/>
          <w:szCs w:val="32"/>
        </w:rPr>
        <w:t>九、财政拨款“三公”经费支出决算情况说明</w:t>
      </w:r>
      <w:bookmarkEnd w:id="9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color w:val="auto"/>
          <w:sz w:val="32"/>
          <w:szCs w:val="32"/>
          <w:lang w:val="en-US" w:eastAsia="zh-CN"/>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100" w:name="_Toc387698632"/>
      <w:r>
        <w:rPr>
          <w:rFonts w:hint="eastAsia" w:ascii="黑体" w:hAnsi="黑体" w:eastAsia="黑体" w:cs="黑体"/>
          <w:bCs/>
          <w:color w:val="auto"/>
          <w:sz w:val="32"/>
          <w:szCs w:val="32"/>
        </w:rPr>
        <w:t>十、预算绩效情况说明</w:t>
      </w:r>
      <w:bookmarkEnd w:id="10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本单位本年度已撤销，未有项目预算，未有开展绩效自评。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lang w:val="zh-CN"/>
        </w:rPr>
      </w:pPr>
      <w:bookmarkStart w:id="101" w:name="_Toc518080803"/>
      <w:r>
        <w:rPr>
          <w:rFonts w:hint="eastAsia" w:ascii="黑体" w:hAnsi="黑体" w:eastAsia="黑体" w:cs="黑体"/>
          <w:bCs/>
          <w:color w:val="auto"/>
          <w:sz w:val="32"/>
          <w:szCs w:val="32"/>
          <w:lang w:val="zh-CN"/>
        </w:rPr>
        <w:t>十一、落实习惯过紧日子要求、保障重点支出情况说明</w:t>
      </w:r>
      <w:bookmarkEnd w:id="101"/>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zh-CN"/>
        </w:rPr>
        <w:t>按照党中央、国务院关于党政机关习惯过紧日子的有关要求，厉行节约办一切事业，严控一般性支出。同时坚持有保有压，优化支出结构，提高资金使用效率，本单位无保障重点支出此项内容。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102" w:name="_Toc1384991836"/>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bookmarkEnd w:id="10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3" w:name="_Toc23598_WPSOffice_Level2"/>
      <w:bookmarkStart w:id="104" w:name="_Toc5978_WPSOffice_Level2"/>
      <w:bookmarkStart w:id="105" w:name="_Toc18325_WPSOffice_Level2"/>
      <w:bookmarkStart w:id="106" w:name="_Toc15565_WPSOffice_Level2"/>
      <w:bookmarkStart w:id="107" w:name="_Toc32639_WPSOffice_Level2"/>
      <w:bookmarkStart w:id="108" w:name="_Toc15262_WPSOffice_Level2"/>
      <w:r>
        <w:rPr>
          <w:rFonts w:hint="eastAsia" w:ascii="楷体" w:hAnsi="楷体" w:eastAsia="楷体" w:cs="楷体"/>
          <w:bCs/>
          <w:color w:val="auto"/>
          <w:sz w:val="32"/>
          <w:szCs w:val="32"/>
        </w:rPr>
        <w:t>（一）机关运行经费支出情况</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Cs/>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9" w:name="_Toc30383_WPSOffice_Level2"/>
      <w:bookmarkStart w:id="110" w:name="_Toc25333_WPSOffice_Level2"/>
      <w:bookmarkStart w:id="111" w:name="_Toc3131_WPSOffice_Level2"/>
      <w:bookmarkStart w:id="112" w:name="_Toc23966_WPSOffice_Level2"/>
      <w:bookmarkStart w:id="113" w:name="_Toc13084_WPSOffice_Level2"/>
      <w:bookmarkStart w:id="114" w:name="_Toc32689_WPSOffice_Level2"/>
      <w:r>
        <w:rPr>
          <w:rFonts w:hint="eastAsia" w:ascii="楷体" w:hAnsi="楷体" w:eastAsia="楷体" w:cs="楷体"/>
          <w:bCs/>
          <w:color w:val="auto"/>
          <w:sz w:val="32"/>
          <w:szCs w:val="32"/>
        </w:rPr>
        <w:t>（二）政府采购支出情况</w:t>
      </w:r>
      <w:bookmarkEnd w:id="109"/>
      <w:bookmarkEnd w:id="110"/>
      <w:bookmarkEnd w:id="111"/>
      <w:bookmarkEnd w:id="112"/>
      <w:bookmarkEnd w:id="113"/>
      <w:bookmarkEnd w:id="11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15" w:name="_Toc6016_WPSOffice_Level2"/>
      <w:bookmarkStart w:id="116" w:name="_Toc29584_WPSOffice_Level2"/>
      <w:bookmarkStart w:id="117" w:name="_Toc10902_WPSOffice_Level2"/>
      <w:bookmarkStart w:id="118" w:name="_Toc527_WPSOffice_Level2"/>
      <w:bookmarkStart w:id="119" w:name="_Toc19989_WPSOffice_Level2"/>
      <w:bookmarkStart w:id="120" w:name="_Toc15129_WPSOffice_Level2"/>
      <w:r>
        <w:rPr>
          <w:rFonts w:hint="eastAsia" w:ascii="楷体" w:hAnsi="楷体" w:eastAsia="楷体" w:cs="楷体"/>
          <w:bCs/>
          <w:color w:val="auto"/>
          <w:sz w:val="32"/>
          <w:szCs w:val="32"/>
        </w:rPr>
        <w:t>（三）国有资产占用情况</w:t>
      </w:r>
      <w:bookmarkEnd w:id="115"/>
      <w:bookmarkEnd w:id="116"/>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color w:val="auto"/>
          <w:sz w:val="32"/>
          <w:szCs w:val="32"/>
        </w:rPr>
      </w:pPr>
      <w:bookmarkStart w:id="121" w:name="_Toc8874_WPSOffice_Level1"/>
      <w:bookmarkStart w:id="122" w:name="_Toc11039_WPSOffice_Level1"/>
      <w:bookmarkStart w:id="123" w:name="_Toc4398_WPSOffice_Level1"/>
      <w:bookmarkStart w:id="124" w:name="_Toc17580_WPSOffice_Level1"/>
      <w:bookmarkStart w:id="125" w:name="_Toc8808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eastAsia" w:ascii="黑体" w:hAnsi="ˎ̥" w:eastAsia="黑体"/>
          <w:color w:val="auto"/>
          <w:sz w:val="32"/>
          <w:szCs w:val="32"/>
        </w:rPr>
      </w:pPr>
      <w:bookmarkStart w:id="126" w:name="_Toc647934425"/>
      <w:r>
        <w:rPr>
          <w:rFonts w:hint="eastAsia" w:ascii="黑体" w:hAnsi="ˎ̥" w:eastAsia="黑体"/>
          <w:color w:val="auto"/>
          <w:sz w:val="32"/>
          <w:szCs w:val="32"/>
        </w:rPr>
        <w:t>第四部分  名词解释</w:t>
      </w:r>
      <w:bookmarkEnd w:id="121"/>
      <w:bookmarkEnd w:id="122"/>
      <w:bookmarkEnd w:id="123"/>
      <w:bookmarkEnd w:id="124"/>
      <w:bookmarkEnd w:id="125"/>
      <w:bookmarkEnd w:id="126"/>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、公务用车购置及运行维护费和公务接待费。其中，因公出国（境）费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rPr>
        <w:t>1.一般公共服务（类）</w:t>
      </w:r>
      <w:r>
        <w:rPr>
          <w:rFonts w:hint="eastAsia" w:ascii="宋体" w:hAnsi="宋体" w:eastAsia="宋体" w:cs="宋体"/>
          <w:b w:val="0"/>
          <w:bCs w:val="0"/>
          <w:color w:val="auto"/>
          <w:sz w:val="32"/>
          <w:szCs w:val="32"/>
          <w:lang w:eastAsia="zh-CN"/>
        </w:rPr>
        <w:t>财政</w:t>
      </w:r>
      <w:r>
        <w:rPr>
          <w:rFonts w:hint="eastAsia" w:ascii="宋体" w:hAnsi="宋体" w:eastAsia="宋体" w:cs="宋体"/>
          <w:b w:val="0"/>
          <w:bCs w:val="0"/>
          <w:color w:val="auto"/>
          <w:sz w:val="32"/>
          <w:szCs w:val="32"/>
        </w:rPr>
        <w:t>事务（款）</w:t>
      </w:r>
      <w:r>
        <w:rPr>
          <w:rFonts w:hint="eastAsia" w:ascii="宋体" w:hAnsi="宋体" w:eastAsia="宋体" w:cs="宋体"/>
          <w:b w:val="0"/>
          <w:bCs w:val="0"/>
          <w:color w:val="auto"/>
          <w:sz w:val="32"/>
          <w:szCs w:val="32"/>
          <w:lang w:eastAsia="zh-CN"/>
        </w:rPr>
        <w:t>事业</w:t>
      </w:r>
      <w:r>
        <w:rPr>
          <w:rFonts w:hint="eastAsia" w:ascii="宋体" w:hAnsi="宋体" w:eastAsia="宋体" w:cs="宋体"/>
          <w:b w:val="0"/>
          <w:bCs w:val="0"/>
          <w:color w:val="auto"/>
          <w:sz w:val="32"/>
          <w:szCs w:val="32"/>
        </w:rPr>
        <w:t>运行（项）</w:t>
      </w:r>
      <w:r>
        <w:rPr>
          <w:rFonts w:hint="eastAsia" w:ascii="宋体" w:hAnsi="宋体" w:eastAsia="宋体" w:cs="宋体"/>
          <w:b w:val="0"/>
          <w:bCs w:val="0"/>
          <w:color w:val="auto"/>
          <w:sz w:val="32"/>
          <w:szCs w:val="32"/>
          <w:lang w:eastAsia="zh-CN"/>
        </w:rPr>
        <w:t>，反映事业单位的基本支出，不包括行政单位（包括实行公务员管理的事业单位）后勤服务中心、医务室等附属事业单位。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lang w:eastAsia="zh-CN"/>
        </w:rPr>
      </w:pPr>
      <w:r>
        <w:rPr>
          <w:rFonts w:hint="eastAsia" w:ascii="宋体" w:hAnsi="宋体" w:eastAsia="宋体" w:cs="宋体"/>
          <w:b w:val="0"/>
          <w:bCs/>
          <w:color w:val="auto"/>
          <w:sz w:val="32"/>
          <w:szCs w:val="32"/>
          <w:lang w:val="en-US" w:eastAsia="zh-CN"/>
        </w:rPr>
        <w:t>2.</w:t>
      </w:r>
      <w:r>
        <w:rPr>
          <w:rFonts w:hint="eastAsia" w:ascii="宋体" w:hAnsi="宋体" w:eastAsia="宋体" w:cs="宋体"/>
          <w:b w:val="0"/>
          <w:bCs/>
          <w:color w:val="auto"/>
          <w:sz w:val="32"/>
          <w:szCs w:val="32"/>
        </w:rPr>
        <w:t>社会保障和就业（类）</w:t>
      </w:r>
      <w:r>
        <w:rPr>
          <w:rFonts w:hint="eastAsia" w:ascii="宋体" w:hAnsi="宋体" w:eastAsia="宋体" w:cs="宋体"/>
          <w:b w:val="0"/>
          <w:bCs/>
          <w:color w:val="auto"/>
          <w:sz w:val="32"/>
          <w:szCs w:val="32"/>
          <w:lang w:eastAsia="zh-CN"/>
        </w:rPr>
        <w:t>行政事业单位养老</w:t>
      </w:r>
      <w:r>
        <w:rPr>
          <w:rFonts w:hint="eastAsia" w:ascii="宋体" w:hAnsi="宋体" w:eastAsia="宋体" w:cs="宋体"/>
          <w:b w:val="0"/>
          <w:bCs/>
          <w:color w:val="auto"/>
          <w:sz w:val="32"/>
          <w:szCs w:val="32"/>
        </w:rPr>
        <w:t>（款）机关事业单位基本养老保险缴费（项）</w:t>
      </w:r>
      <w:r>
        <w:rPr>
          <w:rFonts w:hint="eastAsia" w:ascii="宋体" w:hAnsi="宋体" w:eastAsia="宋体" w:cs="宋体"/>
          <w:b w:val="0"/>
          <w:bCs/>
          <w:color w:val="auto"/>
          <w:sz w:val="32"/>
          <w:szCs w:val="32"/>
          <w:lang w:eastAsia="zh-CN"/>
        </w:rPr>
        <w:t>，反映机关事业单位实施养老保险制度由单位缴纳的基本养老保险费支出。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lang w:eastAsia="zh-CN"/>
        </w:rPr>
      </w:pPr>
      <w:r>
        <w:rPr>
          <w:rFonts w:hint="eastAsia" w:ascii="宋体" w:hAnsi="宋体" w:eastAsia="宋体" w:cs="宋体"/>
          <w:b w:val="0"/>
          <w:bCs w:val="0"/>
          <w:color w:val="auto"/>
          <w:sz w:val="32"/>
          <w:szCs w:val="32"/>
          <w:lang w:val="en-US" w:eastAsia="zh-CN"/>
        </w:rPr>
        <w:t>3.</w:t>
      </w:r>
      <w:r>
        <w:rPr>
          <w:rFonts w:hint="eastAsia" w:ascii="宋体" w:hAnsi="宋体" w:eastAsia="宋体" w:cs="宋体"/>
          <w:b w:val="0"/>
          <w:bCs w:val="0"/>
          <w:color w:val="auto"/>
          <w:sz w:val="32"/>
          <w:szCs w:val="32"/>
        </w:rPr>
        <w:t>社会保障和就业（类）</w:t>
      </w:r>
      <w:r>
        <w:rPr>
          <w:rFonts w:hint="eastAsia" w:ascii="宋体" w:hAnsi="宋体" w:eastAsia="宋体" w:cs="宋体"/>
          <w:b w:val="0"/>
          <w:bCs w:val="0"/>
          <w:color w:val="auto"/>
          <w:sz w:val="32"/>
          <w:szCs w:val="32"/>
          <w:lang w:eastAsia="zh-CN"/>
        </w:rPr>
        <w:t>行政事业单位养老</w:t>
      </w:r>
      <w:r>
        <w:rPr>
          <w:rFonts w:hint="eastAsia" w:ascii="宋体" w:hAnsi="宋体" w:eastAsia="宋体" w:cs="宋体"/>
          <w:b w:val="0"/>
          <w:bCs w:val="0"/>
          <w:color w:val="auto"/>
          <w:sz w:val="32"/>
          <w:szCs w:val="32"/>
        </w:rPr>
        <w:t>（款）机关事业单位</w:t>
      </w:r>
      <w:r>
        <w:rPr>
          <w:rFonts w:hint="eastAsia" w:ascii="宋体" w:hAnsi="宋体" w:eastAsia="宋体" w:cs="宋体"/>
          <w:b w:val="0"/>
          <w:bCs w:val="0"/>
          <w:color w:val="auto"/>
          <w:sz w:val="32"/>
          <w:szCs w:val="32"/>
          <w:lang w:eastAsia="zh-CN"/>
        </w:rPr>
        <w:t>职业年金</w:t>
      </w:r>
      <w:r>
        <w:rPr>
          <w:rFonts w:hint="eastAsia" w:ascii="宋体" w:hAnsi="宋体" w:eastAsia="宋体" w:cs="宋体"/>
          <w:b w:val="0"/>
          <w:bCs w:val="0"/>
          <w:color w:val="auto"/>
          <w:sz w:val="32"/>
          <w:szCs w:val="32"/>
        </w:rPr>
        <w:t>缴费（项）</w:t>
      </w:r>
      <w:r>
        <w:rPr>
          <w:rFonts w:hint="eastAsia" w:ascii="宋体" w:hAnsi="宋体" w:eastAsia="宋体" w:cs="宋体"/>
          <w:b w:val="0"/>
          <w:bCs w:val="0"/>
          <w:color w:val="auto"/>
          <w:sz w:val="32"/>
          <w:szCs w:val="32"/>
          <w:lang w:eastAsia="zh-CN"/>
        </w:rPr>
        <w:t>，</w:t>
      </w:r>
      <w:r>
        <w:rPr>
          <w:rFonts w:hint="eastAsia" w:ascii="宋体" w:hAnsi="宋体" w:eastAsia="宋体" w:cs="宋体"/>
          <w:b w:val="0"/>
          <w:bCs/>
          <w:color w:val="auto"/>
          <w:sz w:val="32"/>
          <w:szCs w:val="32"/>
          <w:lang w:eastAsia="zh-CN"/>
        </w:rPr>
        <w:t>反映机关事业单位实施养老保险制度由单位缴纳的职业年金支出。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lang w:val="en-US" w:eastAsia="zh-CN"/>
        </w:rPr>
        <w:t>4.</w:t>
      </w:r>
      <w:r>
        <w:rPr>
          <w:rFonts w:hint="eastAsia" w:ascii="宋体" w:hAnsi="宋体" w:eastAsia="宋体" w:cs="宋体"/>
          <w:b w:val="0"/>
          <w:bCs w:val="0"/>
          <w:color w:val="auto"/>
          <w:sz w:val="32"/>
          <w:szCs w:val="32"/>
          <w:lang w:eastAsia="zh-CN"/>
        </w:rPr>
        <w:t>卫生健康</w:t>
      </w:r>
      <w:r>
        <w:rPr>
          <w:rFonts w:hint="eastAsia" w:ascii="宋体" w:hAnsi="宋体" w:eastAsia="宋体" w:cs="宋体"/>
          <w:b w:val="0"/>
          <w:bCs w:val="0"/>
          <w:color w:val="auto"/>
          <w:sz w:val="32"/>
          <w:szCs w:val="32"/>
        </w:rPr>
        <w:t>（类）</w:t>
      </w:r>
      <w:r>
        <w:rPr>
          <w:rFonts w:hint="eastAsia" w:ascii="宋体" w:hAnsi="宋体" w:eastAsia="宋体" w:cs="宋体"/>
          <w:b w:val="0"/>
          <w:bCs w:val="0"/>
          <w:color w:val="auto"/>
          <w:sz w:val="32"/>
          <w:szCs w:val="32"/>
          <w:lang w:eastAsia="zh-CN"/>
        </w:rPr>
        <w:t>行政事业单位医疗</w:t>
      </w:r>
      <w:r>
        <w:rPr>
          <w:rFonts w:hint="eastAsia" w:ascii="宋体" w:hAnsi="宋体" w:eastAsia="宋体" w:cs="宋体"/>
          <w:b w:val="0"/>
          <w:bCs w:val="0"/>
          <w:color w:val="auto"/>
          <w:sz w:val="32"/>
          <w:szCs w:val="32"/>
        </w:rPr>
        <w:t>（款）</w:t>
      </w:r>
      <w:r>
        <w:rPr>
          <w:rFonts w:hint="eastAsia" w:ascii="宋体" w:hAnsi="宋体" w:eastAsia="宋体" w:cs="宋体"/>
          <w:b w:val="0"/>
          <w:bCs w:val="0"/>
          <w:color w:val="auto"/>
          <w:sz w:val="32"/>
          <w:szCs w:val="32"/>
          <w:lang w:eastAsia="zh-CN"/>
        </w:rPr>
        <w:t>事业单位医疗</w:t>
      </w:r>
      <w:r>
        <w:rPr>
          <w:rFonts w:hint="eastAsia" w:ascii="宋体" w:hAnsi="宋体" w:eastAsia="宋体" w:cs="宋体"/>
          <w:b w:val="0"/>
          <w:bCs w:val="0"/>
          <w:color w:val="auto"/>
          <w:sz w:val="32"/>
          <w:szCs w:val="32"/>
        </w:rPr>
        <w:t>（项）</w:t>
      </w:r>
      <w:r>
        <w:rPr>
          <w:rFonts w:hint="eastAsia" w:ascii="宋体" w:hAnsi="宋体" w:eastAsia="宋体" w:cs="宋体"/>
          <w:b w:val="0"/>
          <w:bCs w:val="0"/>
          <w:color w:val="auto"/>
          <w:sz w:val="32"/>
          <w:szCs w:val="32"/>
          <w:lang w:eastAsia="zh-CN"/>
        </w:rPr>
        <w:t>，反映行政事业单位医疗方面的支出。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5.</w:t>
      </w:r>
      <w:r>
        <w:rPr>
          <w:rFonts w:hint="eastAsia" w:ascii="宋体" w:hAnsi="宋体" w:eastAsia="宋体" w:cs="宋体"/>
          <w:b w:val="0"/>
          <w:bCs w:val="0"/>
          <w:color w:val="auto"/>
          <w:sz w:val="32"/>
          <w:szCs w:val="32"/>
        </w:rPr>
        <w:t>住房保障支出（类）住房改革支出（款）住房公积金（项）</w:t>
      </w:r>
      <w:r>
        <w:rPr>
          <w:rFonts w:hint="eastAsia" w:ascii="宋体" w:hAnsi="宋体" w:eastAsia="宋体" w:cs="宋体"/>
          <w:b w:val="0"/>
          <w:bCs w:val="0"/>
          <w:color w:val="auto"/>
          <w:sz w:val="32"/>
          <w:szCs w:val="32"/>
          <w:lang w:eastAsia="zh-CN"/>
        </w:rPr>
        <w:t>，反映行政事业单位按人力资源和社会保障部、财政部规定的基本工资和津贴补贴以及规定比例为职工缴纳的住房公积金。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rPr>
          <w:color w:val="auto"/>
        </w:rPr>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ˎ̥">
    <w:altName w:val="汉仪新人文宋简"/>
    <w:panose1 w:val="00000000000000000000"/>
    <w:charset w:val="00"/>
    <w:family w:val="roman"/>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mpact">
    <w:panose1 w:val="020B0806030902050204"/>
    <w:charset w:val="00"/>
    <w:family w:val="auto"/>
    <w:pitch w:val="default"/>
    <w:sig w:usb0="00000287" w:usb1="00000000" w:usb2="00000000" w:usb3="00000000" w:csb0="2000009F" w:csb1="DFD7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Fonts w:hint="eastAsia" w:ascii="宋体" w:hAnsi="宋体" w:eastAsia="宋体" w:cs="宋体"/>
        <w:sz w:val="28"/>
        <w:szCs w:val="28"/>
      </w:rPr>
    </w:pP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9"/>
        <w:rFonts w:hint="eastAsia" w:ascii="宋体" w:hAnsi="宋体" w:eastAsia="宋体" w:cs="宋体"/>
        <w:sz w:val="28"/>
        <w:szCs w:val="28"/>
      </w:rPr>
      <w:t>18</w:t>
    </w:r>
    <w:r>
      <w:rPr>
        <w:rFonts w:hint="eastAsia" w:ascii="宋体" w:hAnsi="宋体" w:eastAsia="宋体" w:cs="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5FF2AD9"/>
    <w:multiLevelType w:val="singleLevel"/>
    <w:tmpl w:val="D5FF2AD9"/>
    <w:lvl w:ilvl="0" w:tentative="0">
      <w:start w:val="1"/>
      <w:numFmt w:val="chineseCounting"/>
      <w:suff w:val="nothing"/>
      <w:lvlText w:val="%1、"/>
      <w:lvlJc w:val="left"/>
      <w:rPr>
        <w:rFonts w:hint="eastAsia"/>
      </w:rPr>
    </w:lvl>
  </w:abstractNum>
  <w:abstractNum w:abstractNumId="2">
    <w:nsid w:val="DE7ABA8A"/>
    <w:multiLevelType w:val="singleLevel"/>
    <w:tmpl w:val="DE7ABA8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F0D0E98"/>
    <w:rsid w:val="0F5B4403"/>
    <w:rsid w:val="0F64775C"/>
    <w:rsid w:val="0FC80124"/>
    <w:rsid w:val="106D0892"/>
    <w:rsid w:val="136F98C7"/>
    <w:rsid w:val="13CC1D73"/>
    <w:rsid w:val="16994B2D"/>
    <w:rsid w:val="17427E68"/>
    <w:rsid w:val="1755065F"/>
    <w:rsid w:val="17F378CF"/>
    <w:rsid w:val="1A5BCCC1"/>
    <w:rsid w:val="1AFC29C9"/>
    <w:rsid w:val="1BFFCBE1"/>
    <w:rsid w:val="1CA52F2E"/>
    <w:rsid w:val="1E3630B9"/>
    <w:rsid w:val="1E766B63"/>
    <w:rsid w:val="22FB1D2D"/>
    <w:rsid w:val="24013373"/>
    <w:rsid w:val="26EEC2B5"/>
    <w:rsid w:val="29472309"/>
    <w:rsid w:val="2B406E77"/>
    <w:rsid w:val="2BD3C5BF"/>
    <w:rsid w:val="2BF67536"/>
    <w:rsid w:val="2C2A0C43"/>
    <w:rsid w:val="2C895B0F"/>
    <w:rsid w:val="2D1E73A5"/>
    <w:rsid w:val="2D984D48"/>
    <w:rsid w:val="2DAA682A"/>
    <w:rsid w:val="32717154"/>
    <w:rsid w:val="34B63260"/>
    <w:rsid w:val="37FDA7E2"/>
    <w:rsid w:val="389D2A9B"/>
    <w:rsid w:val="3A314D88"/>
    <w:rsid w:val="3A746883"/>
    <w:rsid w:val="3C8A1D00"/>
    <w:rsid w:val="3CA15DE9"/>
    <w:rsid w:val="3D0F0457"/>
    <w:rsid w:val="3DFA2EB5"/>
    <w:rsid w:val="3FD02B45"/>
    <w:rsid w:val="3FE61EE5"/>
    <w:rsid w:val="406508EE"/>
    <w:rsid w:val="408D6263"/>
    <w:rsid w:val="41B40CEE"/>
    <w:rsid w:val="42834F1E"/>
    <w:rsid w:val="45060392"/>
    <w:rsid w:val="46773AE2"/>
    <w:rsid w:val="47FA19F4"/>
    <w:rsid w:val="48317291"/>
    <w:rsid w:val="484D5079"/>
    <w:rsid w:val="485F7024"/>
    <w:rsid w:val="488F68F0"/>
    <w:rsid w:val="48C447EC"/>
    <w:rsid w:val="48E70666"/>
    <w:rsid w:val="4C6877E5"/>
    <w:rsid w:val="4D4E6D7A"/>
    <w:rsid w:val="4D6A468D"/>
    <w:rsid w:val="4EA86137"/>
    <w:rsid w:val="51DA7627"/>
    <w:rsid w:val="54AB6860"/>
    <w:rsid w:val="55384597"/>
    <w:rsid w:val="56031AB3"/>
    <w:rsid w:val="56B81EA5"/>
    <w:rsid w:val="56CA7FD0"/>
    <w:rsid w:val="57832294"/>
    <w:rsid w:val="57FA38D1"/>
    <w:rsid w:val="58174786"/>
    <w:rsid w:val="5A6A4AC7"/>
    <w:rsid w:val="5AB97EAE"/>
    <w:rsid w:val="5D9E1657"/>
    <w:rsid w:val="5F7D3333"/>
    <w:rsid w:val="601D7037"/>
    <w:rsid w:val="61385890"/>
    <w:rsid w:val="64CC0566"/>
    <w:rsid w:val="65EA8A93"/>
    <w:rsid w:val="66CB4B3F"/>
    <w:rsid w:val="687436E1"/>
    <w:rsid w:val="6A6B4546"/>
    <w:rsid w:val="6A8E20AF"/>
    <w:rsid w:val="6DA45C50"/>
    <w:rsid w:val="6DF7D624"/>
    <w:rsid w:val="6E9A7825"/>
    <w:rsid w:val="6F39FB57"/>
    <w:rsid w:val="6F670F9B"/>
    <w:rsid w:val="737450E0"/>
    <w:rsid w:val="74054476"/>
    <w:rsid w:val="742F38C4"/>
    <w:rsid w:val="74AB66DC"/>
    <w:rsid w:val="74C4154C"/>
    <w:rsid w:val="75956FFF"/>
    <w:rsid w:val="7765411F"/>
    <w:rsid w:val="778D20C9"/>
    <w:rsid w:val="77AA2D01"/>
    <w:rsid w:val="783C4637"/>
    <w:rsid w:val="793C6888"/>
    <w:rsid w:val="79F705DD"/>
    <w:rsid w:val="7CDE1DBD"/>
    <w:rsid w:val="7D943A85"/>
    <w:rsid w:val="7DB0448C"/>
    <w:rsid w:val="7DEBB9F4"/>
    <w:rsid w:val="7E5F9AA4"/>
    <w:rsid w:val="7EFF7509"/>
    <w:rsid w:val="7FBB8ACE"/>
    <w:rsid w:val="7FFBFAF0"/>
    <w:rsid w:val="8FFC8888"/>
    <w:rsid w:val="A7F73C99"/>
    <w:rsid w:val="B37CF1C8"/>
    <w:rsid w:val="BFFE3BF4"/>
    <w:rsid w:val="C1BE0A60"/>
    <w:rsid w:val="D6DB5D1F"/>
    <w:rsid w:val="D72FAF55"/>
    <w:rsid w:val="D79585B8"/>
    <w:rsid w:val="DFEBDA37"/>
    <w:rsid w:val="DFFDE6F4"/>
    <w:rsid w:val="E7CF2F95"/>
    <w:rsid w:val="EF6FCA1D"/>
    <w:rsid w:val="EFFF57D6"/>
    <w:rsid w:val="F4FCA311"/>
    <w:rsid w:val="F7F196C6"/>
    <w:rsid w:val="FAA96FFB"/>
    <w:rsid w:val="FD33A2D0"/>
    <w:rsid w:val="FEF985A2"/>
    <w:rsid w:val="FEFC0823"/>
    <w:rsid w:val="FF5AB94C"/>
    <w:rsid w:val="FF7FA20F"/>
    <w:rsid w:val="FF8AC856"/>
    <w:rsid w:val="FFFE81A3"/>
    <w:rsid w:val="FFFFC9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1086</Words>
  <Characters>2053</Characters>
  <Lines>67</Lines>
  <Paragraphs>18</Paragraphs>
  <TotalTime>19</TotalTime>
  <ScaleCrop>false</ScaleCrop>
  <LinksUpToDate>false</LinksUpToDate>
  <CharactersWithSpaces>2089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2024-07-30T19:26:00Z</dcterms:created>
  <dc:creator>uos</dc:creator>
  <cp:lastModifiedBy>uos</cp:lastModifiedBy>
  <cp:lastPrinted>2023-08-09T16:58:00Z</cp:lastPrinted>
  <dcterms:modified xsi:type="dcterms:W3CDTF">2026-08-26T15:47:36Z</dcterms:modified>
  <dc:title>海南省创业投资引导基金管理委员会办公室2025年度部门决算公开报告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0FB571957B092CA7613F796A4566059D_43</vt:lpwstr>
  </property>
  <property fmtid="{D5CDD505-2E9C-101B-9397-08002B2CF9AE}" pid="4" name="KSOTemplateDocerSaveRecord">
    <vt:lpwstr>eyJoZGlkIjoiY2VlZThlZDk5ZTQ4MTFjNGY3MjIxNTdiOWMzZmQwMWMiLCJ1c2VySWQiOiIyMzQ5MTc1OTYifQ==</vt:lpwstr>
  </property>
</Properties>
</file>