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center"/>
        <w:rPr>
          <w:rFonts w:hint="eastAsia" w:asciiTheme="majorEastAsia" w:hAnsiTheme="majorEastAsia" w:eastAsiaTheme="majorEastAsia" w:cstheme="majorEastAsia"/>
          <w:b/>
          <w:bCs/>
          <w:color w:val="auto"/>
          <w:sz w:val="44"/>
          <w:szCs w:val="44"/>
        </w:rPr>
      </w:pPr>
      <w:r>
        <w:rPr>
          <w:rFonts w:hint="eastAsia" w:asciiTheme="majorEastAsia" w:hAnsiTheme="majorEastAsia" w:eastAsiaTheme="majorEastAsia" w:cstheme="majorEastAsia"/>
          <w:b/>
          <w:bCs/>
          <w:color w:val="auto"/>
          <w:sz w:val="44"/>
          <w:szCs w:val="44"/>
        </w:rPr>
        <w:t>海南省债务金融监测评价中心</w:t>
      </w:r>
      <w:r>
        <w:rPr>
          <w:rFonts w:hint="default" w:asciiTheme="majorEastAsia" w:hAnsiTheme="majorEastAsia" w:eastAsiaTheme="majorEastAsia" w:cstheme="majorEastAsia"/>
          <w:b/>
          <w:bCs/>
          <w:color w:val="auto"/>
          <w:sz w:val="44"/>
          <w:szCs w:val="44"/>
          <w:lang w:val="en-US"/>
        </w:rPr>
        <w:t>2025</w:t>
      </w:r>
      <w:r>
        <w:rPr>
          <w:rFonts w:hint="eastAsia" w:asciiTheme="majorEastAsia" w:hAnsiTheme="majorEastAsia" w:eastAsiaTheme="majorEastAsia" w:cstheme="majorEastAsia"/>
          <w:b/>
          <w:bCs/>
          <w:color w:val="auto"/>
          <w:sz w:val="44"/>
          <w:szCs w:val="44"/>
        </w:rPr>
        <w:t>年度部门决算公开报告</w:t>
      </w:r>
    </w:p>
    <w:p>
      <w:pPr>
        <w:spacing w:line="578" w:lineRule="exact"/>
        <w:jc w:val="center"/>
        <w:rPr>
          <w:rFonts w:hint="eastAsia" w:ascii="黑体" w:hAnsi="ˎ̥" w:eastAsia="黑体"/>
          <w:b/>
          <w:color w:val="auto"/>
          <w:sz w:val="32"/>
          <w:szCs w:val="32"/>
        </w:rPr>
      </w:pPr>
    </w:p>
    <w:sdt>
      <w:sdtPr>
        <w:rPr>
          <w:rFonts w:ascii="宋体" w:hAnsi="宋体" w:eastAsia="宋体" w:cs="Times New Roman"/>
          <w:kern w:val="2"/>
          <w:sz w:val="21"/>
          <w:szCs w:val="24"/>
          <w:lang w:val="en-US" w:eastAsia="zh-CN" w:bidi="ar-SA"/>
        </w:rPr>
        <w:id w:val="398693177"/>
        <w15:color w:val="DBDBDB"/>
        <w:docPartObj>
          <w:docPartGallery w:val="Table of Contents"/>
          <w:docPartUnique/>
        </w:docPartObj>
      </w:sdtPr>
      <w:sdtEndPr>
        <w:rPr>
          <w:rFonts w:hint="eastAsia" w:ascii="黑体" w:hAnsi="ˎ̥" w:eastAsia="黑体" w:cs="Times New Roman"/>
          <w:b/>
          <w:color w:val="auto"/>
          <w:kern w:val="2"/>
          <w:sz w:val="21"/>
          <w:szCs w:val="32"/>
          <w:lang w:val="en-US" w:eastAsia="zh-CN" w:bidi="ar-SA"/>
        </w:rPr>
      </w:sdtEndPr>
      <w:sdtContent>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sz w:val="32"/>
              <w:szCs w:val="32"/>
            </w:rPr>
          </w:pPr>
          <w:bookmarkStart w:id="0" w:name="_Toc23465_WPSOffice_Level1"/>
          <w:bookmarkStart w:id="1" w:name="_Toc32433_WPSOffice_Level1"/>
          <w:bookmarkStart w:id="2" w:name="_Toc10049_WPSOffice_Level1"/>
          <w:bookmarkStart w:id="3" w:name="_Toc10720_WPSOffice_Level1"/>
          <w:bookmarkStart w:id="4" w:name="_Toc22941_WPSOffice_Level1"/>
          <w:bookmarkStart w:id="5" w:name="_Toc24238_WPSOffice_Level2"/>
          <w:bookmarkStart w:id="6" w:name="_Toc26580_WPSOffice_Level2"/>
          <w:bookmarkStart w:id="7" w:name="_Toc14159_WPSOffice_Level2"/>
          <w:bookmarkStart w:id="8" w:name="_Toc32622_WPSOffice_Level2"/>
          <w:bookmarkStart w:id="9" w:name="_Toc20205_WPSOffice_Level2"/>
          <w:r>
            <w:rPr>
              <w:rFonts w:hint="eastAsia" w:ascii="方正黑体_GBK" w:hAnsi="方正黑体_GBK" w:eastAsia="方正黑体_GBK" w:cs="方正黑体_GBK"/>
              <w:sz w:val="44"/>
              <w:szCs w:val="44"/>
            </w:rPr>
            <w:t>目</w:t>
          </w:r>
          <w:r>
            <w:rPr>
              <w:rFonts w:hint="eastAsia" w:ascii="方正黑体_GBK" w:hAnsi="方正黑体_GBK" w:eastAsia="方正黑体_GBK" w:cs="方正黑体_GBK"/>
              <w:sz w:val="44"/>
              <w:szCs w:val="44"/>
              <w:lang w:val="en-US" w:eastAsia="zh-CN"/>
            </w:rPr>
            <w:t xml:space="preserve">  </w:t>
          </w:r>
          <w:r>
            <w:rPr>
              <w:rFonts w:hint="eastAsia" w:ascii="方正黑体_GBK" w:hAnsi="方正黑体_GBK" w:eastAsia="方正黑体_GBK" w:cs="方正黑体_GBK"/>
              <w:sz w:val="44"/>
              <w:szCs w:val="44"/>
            </w:rPr>
            <w:t>录</w:t>
          </w:r>
        </w:p>
        <w:p>
          <w:pPr>
            <w:pStyle w:val="15"/>
            <w:tabs>
              <w:tab w:val="right" w:leader="dot" w:pos="8845"/>
            </w:tabs>
            <w:rPr>
              <w:rFonts w:hint="eastAsia" w:ascii="方正黑体_GBK" w:hAnsi="方正黑体_GBK" w:eastAsia="方正黑体_GBK" w:cs="方正黑体_GBK"/>
              <w:b/>
              <w:sz w:val="32"/>
              <w:szCs w:val="32"/>
            </w:rPr>
          </w:pPr>
          <w:r>
            <w:rPr>
              <w:rFonts w:hint="eastAsia" w:ascii="方正黑体_GBK" w:hAnsi="方正黑体_GBK" w:eastAsia="方正黑体_GBK" w:cs="方正黑体_GBK"/>
              <w:color w:val="auto"/>
              <w:sz w:val="32"/>
              <w:szCs w:val="32"/>
            </w:rPr>
            <w:fldChar w:fldCharType="begin"/>
          </w:r>
          <w:r>
            <w:rPr>
              <w:rFonts w:hint="eastAsia" w:ascii="方正黑体_GBK" w:hAnsi="方正黑体_GBK" w:eastAsia="方正黑体_GBK" w:cs="方正黑体_GBK"/>
              <w:color w:val="auto"/>
              <w:sz w:val="32"/>
              <w:szCs w:val="32"/>
            </w:rPr>
            <w:instrText xml:space="preserve">TOC \o "1-2" \h \u </w:instrText>
          </w:r>
          <w:r>
            <w:rPr>
              <w:rFonts w:hint="eastAsia" w:ascii="方正黑体_GBK" w:hAnsi="方正黑体_GBK" w:eastAsia="方正黑体_GBK" w:cs="方正黑体_GBK"/>
              <w:color w:val="auto"/>
              <w:sz w:val="32"/>
              <w:szCs w:val="32"/>
            </w:rPr>
            <w:fldChar w:fldCharType="separate"/>
          </w:r>
          <w:r>
            <w:rPr>
              <w:rFonts w:hint="eastAsia" w:ascii="方正黑体_GBK" w:hAnsi="方正黑体_GBK" w:eastAsia="方正黑体_GBK" w:cs="方正黑体_GBK"/>
              <w:b w:val="0"/>
              <w:bCs/>
              <w:color w:val="auto"/>
              <w:sz w:val="32"/>
              <w:szCs w:val="32"/>
            </w:rPr>
            <w:fldChar w:fldCharType="begin"/>
          </w:r>
          <w:r>
            <w:rPr>
              <w:rFonts w:hint="eastAsia" w:ascii="方正黑体_GBK" w:hAnsi="方正黑体_GBK" w:eastAsia="方正黑体_GBK" w:cs="方正黑体_GBK"/>
              <w:b w:val="0"/>
              <w:bCs/>
              <w:sz w:val="32"/>
              <w:szCs w:val="32"/>
            </w:rPr>
            <w:instrText xml:space="preserve"> HYPERLINK \l _Toc11998966 </w:instrText>
          </w:r>
          <w:r>
            <w:rPr>
              <w:rFonts w:hint="eastAsia" w:ascii="方正黑体_GBK" w:hAnsi="方正黑体_GBK" w:eastAsia="方正黑体_GBK" w:cs="方正黑体_GBK"/>
              <w:b w:val="0"/>
              <w:bCs/>
              <w:sz w:val="32"/>
              <w:szCs w:val="32"/>
            </w:rPr>
            <w:fldChar w:fldCharType="separate"/>
          </w:r>
          <w:r>
            <w:rPr>
              <w:rFonts w:hint="eastAsia" w:ascii="方正黑体_GBK" w:hAnsi="方正黑体_GBK" w:eastAsia="方正黑体_GBK" w:cs="方正黑体_GBK"/>
              <w:b w:val="0"/>
              <w:bCs/>
              <w:sz w:val="32"/>
              <w:szCs w:val="32"/>
            </w:rPr>
            <w:t>第一部分  基本情况</w:t>
          </w:r>
          <w:r>
            <w:rPr>
              <w:rFonts w:hint="eastAsia" w:ascii="方正黑体_GBK" w:hAnsi="方正黑体_GBK" w:eastAsia="方正黑体_GBK" w:cs="方正黑体_GBK"/>
              <w:b w:val="0"/>
              <w:bCs/>
              <w:sz w:val="32"/>
              <w:szCs w:val="32"/>
            </w:rPr>
            <w:tab/>
          </w:r>
          <w:r>
            <w:rPr>
              <w:rFonts w:hint="eastAsia" w:ascii="方正黑体_GBK" w:hAnsi="方正黑体_GBK" w:eastAsia="方正黑体_GBK" w:cs="方正黑体_GBK"/>
              <w:b w:val="0"/>
              <w:bCs/>
              <w:sz w:val="32"/>
              <w:szCs w:val="32"/>
            </w:rPr>
            <w:fldChar w:fldCharType="begin"/>
          </w:r>
          <w:r>
            <w:rPr>
              <w:rFonts w:hint="eastAsia" w:ascii="方正黑体_GBK" w:hAnsi="方正黑体_GBK" w:eastAsia="方正黑体_GBK" w:cs="方正黑体_GBK"/>
              <w:b w:val="0"/>
              <w:bCs/>
              <w:sz w:val="32"/>
              <w:szCs w:val="32"/>
            </w:rPr>
            <w:instrText xml:space="preserve"> PAGEREF _Toc11998966 \h </w:instrText>
          </w:r>
          <w:r>
            <w:rPr>
              <w:rFonts w:hint="eastAsia" w:ascii="方正黑体_GBK" w:hAnsi="方正黑体_GBK" w:eastAsia="方正黑体_GBK" w:cs="方正黑体_GBK"/>
              <w:b w:val="0"/>
              <w:bCs/>
              <w:sz w:val="32"/>
              <w:szCs w:val="32"/>
            </w:rPr>
            <w:fldChar w:fldCharType="separate"/>
          </w:r>
          <w:r>
            <w:rPr>
              <w:rFonts w:hint="eastAsia" w:ascii="方正黑体_GBK" w:hAnsi="方正黑体_GBK" w:eastAsia="方正黑体_GBK" w:cs="方正黑体_GBK"/>
              <w:b w:val="0"/>
              <w:bCs/>
              <w:sz w:val="32"/>
              <w:szCs w:val="32"/>
            </w:rPr>
            <w:t>2</w:t>
          </w:r>
          <w:r>
            <w:rPr>
              <w:rFonts w:hint="eastAsia" w:ascii="方正黑体_GBK" w:hAnsi="方正黑体_GBK" w:eastAsia="方正黑体_GBK" w:cs="方正黑体_GBK"/>
              <w:b w:val="0"/>
              <w:bCs/>
              <w:sz w:val="32"/>
              <w:szCs w:val="32"/>
            </w:rPr>
            <w:fldChar w:fldCharType="end"/>
          </w:r>
          <w:r>
            <w:rPr>
              <w:rFonts w:hint="eastAsia" w:ascii="方正黑体_GBK" w:hAnsi="方正黑体_GBK" w:eastAsia="方正黑体_GBK" w:cs="方正黑体_GBK"/>
              <w:b w:val="0"/>
              <w:bCs/>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_Toc222942709 </w:instrText>
          </w:r>
          <w:r>
            <w:rPr>
              <w:rFonts w:hint="eastAsia" w:ascii="宋体" w:hAnsi="宋体" w:eastAsia="宋体" w:cs="宋体"/>
              <w:sz w:val="32"/>
              <w:szCs w:val="32"/>
            </w:rPr>
            <w:fldChar w:fldCharType="separate"/>
          </w:r>
          <w:r>
            <w:rPr>
              <w:rFonts w:hint="eastAsia" w:ascii="宋体" w:hAnsi="宋体" w:eastAsia="宋体" w:cs="宋体"/>
              <w:sz w:val="32"/>
              <w:szCs w:val="32"/>
            </w:rPr>
            <w:t>一、</w:t>
          </w:r>
          <w:bookmarkStart w:id="128" w:name="_GoBack"/>
          <w:bookmarkEnd w:id="128"/>
          <w:r>
            <w:rPr>
              <w:rFonts w:hint="eastAsia" w:ascii="宋体" w:hAnsi="宋体" w:eastAsia="宋体" w:cs="宋体"/>
              <w:sz w:val="32"/>
              <w:szCs w:val="32"/>
            </w:rPr>
            <w:t>单位职责</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_Toc222942709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方正黑体_GBK" w:hAnsi="方正黑体_GBK" w:eastAsia="方正黑体_GBK" w:cs="方正黑体_GBK"/>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_Toc2071893409 </w:instrText>
          </w:r>
          <w:r>
            <w:rPr>
              <w:rFonts w:hint="eastAsia" w:ascii="宋体" w:hAnsi="宋体" w:eastAsia="宋体" w:cs="宋体"/>
              <w:sz w:val="32"/>
              <w:szCs w:val="32"/>
            </w:rPr>
            <w:fldChar w:fldCharType="separate"/>
          </w:r>
          <w:r>
            <w:rPr>
              <w:rFonts w:hint="eastAsia" w:ascii="宋体" w:hAnsi="宋体" w:eastAsia="宋体" w:cs="宋体"/>
              <w:sz w:val="32"/>
              <w:szCs w:val="32"/>
            </w:rPr>
            <w:t>二、机构设置</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_Toc2071893409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5"/>
            <w:tabs>
              <w:tab w:val="right" w:leader="dot" w:pos="8845"/>
            </w:tabs>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color w:val="auto"/>
              <w:sz w:val="32"/>
              <w:szCs w:val="32"/>
            </w:rPr>
            <w:fldChar w:fldCharType="begin"/>
          </w:r>
          <w:r>
            <w:rPr>
              <w:rFonts w:hint="eastAsia" w:ascii="方正黑体_GBK" w:hAnsi="方正黑体_GBK" w:eastAsia="方正黑体_GBK" w:cs="方正黑体_GBK"/>
              <w:b w:val="0"/>
              <w:bCs/>
              <w:sz w:val="32"/>
              <w:szCs w:val="32"/>
            </w:rPr>
            <w:instrText xml:space="preserve"> HYPERLINK \l _Toc1733238157 </w:instrText>
          </w:r>
          <w:r>
            <w:rPr>
              <w:rFonts w:hint="eastAsia" w:ascii="方正黑体_GBK" w:hAnsi="方正黑体_GBK" w:eastAsia="方正黑体_GBK" w:cs="方正黑体_GBK"/>
              <w:b w:val="0"/>
              <w:bCs/>
              <w:sz w:val="32"/>
              <w:szCs w:val="32"/>
            </w:rPr>
            <w:fldChar w:fldCharType="separate"/>
          </w:r>
          <w:r>
            <w:rPr>
              <w:rFonts w:hint="eastAsia" w:ascii="方正黑体_GBK" w:hAnsi="方正黑体_GBK" w:eastAsia="方正黑体_GBK" w:cs="方正黑体_GBK"/>
              <w:b w:val="0"/>
              <w:bCs/>
              <w:sz w:val="32"/>
              <w:szCs w:val="32"/>
            </w:rPr>
            <w:t xml:space="preserve">第二部分  </w:t>
          </w:r>
          <w:r>
            <w:rPr>
              <w:rFonts w:hint="eastAsia" w:ascii="方正黑体_GBK" w:hAnsi="方正黑体_GBK" w:eastAsia="方正黑体_GBK" w:cs="方正黑体_GBK"/>
              <w:b w:val="0"/>
              <w:bCs/>
              <w:sz w:val="32"/>
              <w:szCs w:val="32"/>
              <w:lang w:val="en-US"/>
            </w:rPr>
            <w:t>2025</w:t>
          </w:r>
          <w:r>
            <w:rPr>
              <w:rFonts w:hint="eastAsia" w:ascii="方正黑体_GBK" w:hAnsi="方正黑体_GBK" w:eastAsia="方正黑体_GBK" w:cs="方正黑体_GBK"/>
              <w:b w:val="0"/>
              <w:bCs/>
              <w:sz w:val="32"/>
              <w:szCs w:val="32"/>
            </w:rPr>
            <w:t>年度部门决算公开报表</w:t>
          </w:r>
          <w:r>
            <w:rPr>
              <w:rFonts w:hint="eastAsia" w:ascii="方正黑体_GBK" w:hAnsi="方正黑体_GBK" w:eastAsia="方正黑体_GBK" w:cs="方正黑体_GBK"/>
              <w:b w:val="0"/>
              <w:bCs/>
              <w:sz w:val="32"/>
              <w:szCs w:val="32"/>
            </w:rPr>
            <w:tab/>
          </w:r>
          <w:r>
            <w:rPr>
              <w:rFonts w:hint="eastAsia" w:ascii="方正黑体_GBK" w:hAnsi="方正黑体_GBK" w:eastAsia="方正黑体_GBK" w:cs="方正黑体_GBK"/>
              <w:b w:val="0"/>
              <w:bCs/>
              <w:sz w:val="32"/>
              <w:szCs w:val="32"/>
            </w:rPr>
            <w:fldChar w:fldCharType="begin"/>
          </w:r>
          <w:r>
            <w:rPr>
              <w:rFonts w:hint="eastAsia" w:ascii="方正黑体_GBK" w:hAnsi="方正黑体_GBK" w:eastAsia="方正黑体_GBK" w:cs="方正黑体_GBK"/>
              <w:b w:val="0"/>
              <w:bCs/>
              <w:sz w:val="32"/>
              <w:szCs w:val="32"/>
            </w:rPr>
            <w:instrText xml:space="preserve"> PAGEREF _Toc1733238157 \h </w:instrText>
          </w:r>
          <w:r>
            <w:rPr>
              <w:rFonts w:hint="eastAsia" w:ascii="方正黑体_GBK" w:hAnsi="方正黑体_GBK" w:eastAsia="方正黑体_GBK" w:cs="方正黑体_GBK"/>
              <w:b w:val="0"/>
              <w:bCs/>
              <w:sz w:val="32"/>
              <w:szCs w:val="32"/>
            </w:rPr>
            <w:fldChar w:fldCharType="separate"/>
          </w:r>
          <w:r>
            <w:rPr>
              <w:rFonts w:hint="eastAsia" w:ascii="方正黑体_GBK" w:hAnsi="方正黑体_GBK" w:eastAsia="方正黑体_GBK" w:cs="方正黑体_GBK"/>
              <w:b w:val="0"/>
              <w:bCs/>
              <w:sz w:val="32"/>
              <w:szCs w:val="32"/>
            </w:rPr>
            <w:t>2</w:t>
          </w:r>
          <w:r>
            <w:rPr>
              <w:rFonts w:hint="eastAsia" w:ascii="方正黑体_GBK" w:hAnsi="方正黑体_GBK" w:eastAsia="方正黑体_GBK" w:cs="方正黑体_GBK"/>
              <w:b w:val="0"/>
              <w:bCs/>
              <w:sz w:val="32"/>
              <w:szCs w:val="32"/>
            </w:rPr>
            <w:fldChar w:fldCharType="end"/>
          </w:r>
          <w:r>
            <w:rPr>
              <w:rFonts w:hint="eastAsia" w:ascii="方正黑体_GBK" w:hAnsi="方正黑体_GBK" w:eastAsia="方正黑体_GBK" w:cs="方正黑体_GBK"/>
              <w:b w:val="0"/>
              <w:bCs/>
              <w:color w:val="auto"/>
              <w:sz w:val="32"/>
              <w:szCs w:val="32"/>
            </w:rPr>
            <w:fldChar w:fldCharType="end"/>
          </w:r>
        </w:p>
        <w:p>
          <w:pPr>
            <w:pStyle w:val="15"/>
            <w:tabs>
              <w:tab w:val="right" w:leader="dot" w:pos="8845"/>
            </w:tabs>
            <w:rPr>
              <w:rFonts w:hint="eastAsia" w:ascii="方正黑体_GBK" w:hAnsi="方正黑体_GBK" w:eastAsia="方正黑体_GBK" w:cs="方正黑体_GBK"/>
              <w:b/>
              <w:sz w:val="32"/>
              <w:szCs w:val="32"/>
            </w:rPr>
          </w:pPr>
          <w:r>
            <w:rPr>
              <w:rFonts w:hint="eastAsia" w:ascii="方正黑体_GBK" w:hAnsi="方正黑体_GBK" w:eastAsia="方正黑体_GBK" w:cs="方正黑体_GBK"/>
              <w:b w:val="0"/>
              <w:bCs/>
              <w:color w:val="auto"/>
              <w:sz w:val="32"/>
              <w:szCs w:val="32"/>
            </w:rPr>
            <w:fldChar w:fldCharType="begin"/>
          </w:r>
          <w:r>
            <w:rPr>
              <w:rFonts w:hint="eastAsia" w:ascii="方正黑体_GBK" w:hAnsi="方正黑体_GBK" w:eastAsia="方正黑体_GBK" w:cs="方正黑体_GBK"/>
              <w:b w:val="0"/>
              <w:bCs/>
              <w:sz w:val="32"/>
              <w:szCs w:val="32"/>
            </w:rPr>
            <w:instrText xml:space="preserve"> HYPERLINK \l _Toc946481124 </w:instrText>
          </w:r>
          <w:r>
            <w:rPr>
              <w:rFonts w:hint="eastAsia" w:ascii="方正黑体_GBK" w:hAnsi="方正黑体_GBK" w:eastAsia="方正黑体_GBK" w:cs="方正黑体_GBK"/>
              <w:b w:val="0"/>
              <w:bCs/>
              <w:sz w:val="32"/>
              <w:szCs w:val="32"/>
            </w:rPr>
            <w:fldChar w:fldCharType="separate"/>
          </w:r>
          <w:r>
            <w:rPr>
              <w:rFonts w:hint="eastAsia" w:ascii="方正黑体_GBK" w:hAnsi="方正黑体_GBK" w:eastAsia="方正黑体_GBK" w:cs="方正黑体_GBK"/>
              <w:b w:val="0"/>
              <w:bCs/>
              <w:sz w:val="32"/>
              <w:szCs w:val="32"/>
            </w:rPr>
            <w:t xml:space="preserve">第三部分  </w:t>
          </w:r>
          <w:r>
            <w:rPr>
              <w:rFonts w:hint="eastAsia" w:ascii="方正黑体_GBK" w:hAnsi="方正黑体_GBK" w:eastAsia="方正黑体_GBK" w:cs="方正黑体_GBK"/>
              <w:b w:val="0"/>
              <w:bCs/>
              <w:sz w:val="32"/>
              <w:szCs w:val="32"/>
              <w:lang w:val="en-US"/>
            </w:rPr>
            <w:t>2025</w:t>
          </w:r>
          <w:r>
            <w:rPr>
              <w:rFonts w:hint="eastAsia" w:ascii="方正黑体_GBK" w:hAnsi="方正黑体_GBK" w:eastAsia="方正黑体_GBK" w:cs="方正黑体_GBK"/>
              <w:b w:val="0"/>
              <w:bCs/>
              <w:sz w:val="32"/>
              <w:szCs w:val="32"/>
            </w:rPr>
            <w:t>年度部门决算情况说明</w:t>
          </w:r>
          <w:r>
            <w:rPr>
              <w:rFonts w:hint="eastAsia" w:ascii="方正黑体_GBK" w:hAnsi="方正黑体_GBK" w:eastAsia="方正黑体_GBK" w:cs="方正黑体_GBK"/>
              <w:b w:val="0"/>
              <w:bCs/>
              <w:sz w:val="32"/>
              <w:szCs w:val="32"/>
            </w:rPr>
            <w:tab/>
          </w:r>
          <w:r>
            <w:rPr>
              <w:rFonts w:hint="eastAsia" w:ascii="方正黑体_GBK" w:hAnsi="方正黑体_GBK" w:eastAsia="方正黑体_GBK" w:cs="方正黑体_GBK"/>
              <w:b w:val="0"/>
              <w:bCs/>
              <w:sz w:val="32"/>
              <w:szCs w:val="32"/>
            </w:rPr>
            <w:fldChar w:fldCharType="begin"/>
          </w:r>
          <w:r>
            <w:rPr>
              <w:rFonts w:hint="eastAsia" w:ascii="方正黑体_GBK" w:hAnsi="方正黑体_GBK" w:eastAsia="方正黑体_GBK" w:cs="方正黑体_GBK"/>
              <w:b w:val="0"/>
              <w:bCs/>
              <w:sz w:val="32"/>
              <w:szCs w:val="32"/>
            </w:rPr>
            <w:instrText xml:space="preserve"> PAGEREF _Toc946481124 \h </w:instrText>
          </w:r>
          <w:r>
            <w:rPr>
              <w:rFonts w:hint="eastAsia" w:ascii="方正黑体_GBK" w:hAnsi="方正黑体_GBK" w:eastAsia="方正黑体_GBK" w:cs="方正黑体_GBK"/>
              <w:b w:val="0"/>
              <w:bCs/>
              <w:sz w:val="32"/>
              <w:szCs w:val="32"/>
            </w:rPr>
            <w:fldChar w:fldCharType="separate"/>
          </w:r>
          <w:r>
            <w:rPr>
              <w:rFonts w:hint="eastAsia" w:ascii="方正黑体_GBK" w:hAnsi="方正黑体_GBK" w:eastAsia="方正黑体_GBK" w:cs="方正黑体_GBK"/>
              <w:b w:val="0"/>
              <w:bCs/>
              <w:sz w:val="32"/>
              <w:szCs w:val="32"/>
            </w:rPr>
            <w:t>3</w:t>
          </w:r>
          <w:r>
            <w:rPr>
              <w:rFonts w:hint="eastAsia" w:ascii="方正黑体_GBK" w:hAnsi="方正黑体_GBK" w:eastAsia="方正黑体_GBK" w:cs="方正黑体_GBK"/>
              <w:b w:val="0"/>
              <w:bCs/>
              <w:sz w:val="32"/>
              <w:szCs w:val="32"/>
            </w:rPr>
            <w:fldChar w:fldCharType="end"/>
          </w:r>
          <w:r>
            <w:rPr>
              <w:rFonts w:hint="eastAsia" w:ascii="方正黑体_GBK" w:hAnsi="方正黑体_GBK" w:eastAsia="方正黑体_GBK" w:cs="方正黑体_GBK"/>
              <w:b w:val="0"/>
              <w:bCs/>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_Toc338410106 </w:instrText>
          </w:r>
          <w:r>
            <w:rPr>
              <w:rFonts w:hint="eastAsia" w:ascii="宋体" w:hAnsi="宋体" w:eastAsia="宋体" w:cs="宋体"/>
              <w:sz w:val="32"/>
              <w:szCs w:val="32"/>
            </w:rPr>
            <w:fldChar w:fldCharType="separate"/>
          </w:r>
          <w:r>
            <w:rPr>
              <w:rFonts w:hint="eastAsia" w:ascii="宋体" w:hAnsi="宋体" w:eastAsia="宋体" w:cs="宋体"/>
              <w:bCs/>
              <w:sz w:val="32"/>
              <w:szCs w:val="32"/>
            </w:rPr>
            <w:t>一、 收入支出总体情况说明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_Toc338410106 \h </w:instrText>
          </w:r>
          <w:r>
            <w:rPr>
              <w:rFonts w:hint="eastAsia" w:ascii="宋体" w:hAnsi="宋体" w:eastAsia="宋体" w:cs="宋体"/>
              <w:sz w:val="32"/>
              <w:szCs w:val="32"/>
            </w:rPr>
            <w:fldChar w:fldCharType="separate"/>
          </w:r>
          <w:r>
            <w:rPr>
              <w:rFonts w:hint="eastAsia" w:ascii="宋体" w:hAnsi="宋体" w:eastAsia="宋体" w:cs="宋体"/>
              <w:sz w:val="32"/>
              <w:szCs w:val="32"/>
            </w:rPr>
            <w:t>3</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_Toc1255297554 </w:instrText>
          </w:r>
          <w:r>
            <w:rPr>
              <w:rFonts w:hint="eastAsia" w:ascii="宋体" w:hAnsi="宋体" w:eastAsia="宋体" w:cs="宋体"/>
              <w:sz w:val="32"/>
              <w:szCs w:val="32"/>
            </w:rPr>
            <w:fldChar w:fldCharType="separate"/>
          </w:r>
          <w:r>
            <w:rPr>
              <w:rFonts w:hint="eastAsia" w:ascii="宋体" w:hAnsi="宋体" w:eastAsia="宋体" w:cs="宋体"/>
              <w:bCs/>
              <w:sz w:val="32"/>
              <w:szCs w:val="32"/>
            </w:rPr>
            <w:t>二、 收入决算情况说明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_Toc1255297554 \h </w:instrText>
          </w:r>
          <w:r>
            <w:rPr>
              <w:rFonts w:hint="eastAsia" w:ascii="宋体" w:hAnsi="宋体" w:eastAsia="宋体" w:cs="宋体"/>
              <w:sz w:val="32"/>
              <w:szCs w:val="32"/>
            </w:rPr>
            <w:fldChar w:fldCharType="separate"/>
          </w:r>
          <w:r>
            <w:rPr>
              <w:rFonts w:hint="eastAsia" w:ascii="宋体" w:hAnsi="宋体" w:eastAsia="宋体" w:cs="宋体"/>
              <w:sz w:val="32"/>
              <w:szCs w:val="32"/>
            </w:rPr>
            <w:t>3</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_Toc416088516 </w:instrText>
          </w:r>
          <w:r>
            <w:rPr>
              <w:rFonts w:hint="eastAsia" w:ascii="宋体" w:hAnsi="宋体" w:eastAsia="宋体" w:cs="宋体"/>
              <w:sz w:val="32"/>
              <w:szCs w:val="32"/>
            </w:rPr>
            <w:fldChar w:fldCharType="separate"/>
          </w:r>
          <w:r>
            <w:rPr>
              <w:rFonts w:hint="eastAsia" w:ascii="宋体" w:hAnsi="宋体" w:eastAsia="宋体" w:cs="宋体"/>
              <w:bCs/>
              <w:sz w:val="32"/>
              <w:szCs w:val="32"/>
            </w:rPr>
            <w:t>三、支出决算情况说明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_Toc416088516 \h </w:instrText>
          </w:r>
          <w:r>
            <w:rPr>
              <w:rFonts w:hint="eastAsia" w:ascii="宋体" w:hAnsi="宋体" w:eastAsia="宋体" w:cs="宋体"/>
              <w:sz w:val="32"/>
              <w:szCs w:val="32"/>
            </w:rPr>
            <w:fldChar w:fldCharType="separate"/>
          </w:r>
          <w:r>
            <w:rPr>
              <w:rFonts w:hint="eastAsia" w:ascii="宋体" w:hAnsi="宋体" w:eastAsia="宋体" w:cs="宋体"/>
              <w:sz w:val="32"/>
              <w:szCs w:val="32"/>
            </w:rPr>
            <w:t>3</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_Toc461674788 </w:instrText>
          </w:r>
          <w:r>
            <w:rPr>
              <w:rFonts w:hint="eastAsia" w:ascii="宋体" w:hAnsi="宋体" w:eastAsia="宋体" w:cs="宋体"/>
              <w:sz w:val="32"/>
              <w:szCs w:val="32"/>
            </w:rPr>
            <w:fldChar w:fldCharType="separate"/>
          </w:r>
          <w:r>
            <w:rPr>
              <w:rFonts w:hint="eastAsia" w:ascii="宋体" w:hAnsi="宋体" w:eastAsia="宋体" w:cs="宋体"/>
              <w:bCs/>
              <w:sz w:val="32"/>
              <w:szCs w:val="32"/>
            </w:rPr>
            <w:t>四、财政拨款收入支出决算总体情况说明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_Toc461674788 \h </w:instrText>
          </w:r>
          <w:r>
            <w:rPr>
              <w:rFonts w:hint="eastAsia" w:ascii="宋体" w:hAnsi="宋体" w:eastAsia="宋体" w:cs="宋体"/>
              <w:sz w:val="32"/>
              <w:szCs w:val="32"/>
            </w:rPr>
            <w:fldChar w:fldCharType="separate"/>
          </w:r>
          <w:r>
            <w:rPr>
              <w:rFonts w:hint="eastAsia" w:ascii="宋体" w:hAnsi="宋体" w:eastAsia="宋体" w:cs="宋体"/>
              <w:sz w:val="32"/>
              <w:szCs w:val="32"/>
            </w:rPr>
            <w:t>4</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_Toc1967638949 </w:instrText>
          </w:r>
          <w:r>
            <w:rPr>
              <w:rFonts w:hint="eastAsia" w:ascii="宋体" w:hAnsi="宋体" w:eastAsia="宋体" w:cs="宋体"/>
              <w:sz w:val="32"/>
              <w:szCs w:val="32"/>
            </w:rPr>
            <w:fldChar w:fldCharType="separate"/>
          </w:r>
          <w:r>
            <w:rPr>
              <w:rFonts w:hint="eastAsia" w:ascii="宋体" w:hAnsi="宋体" w:eastAsia="宋体" w:cs="宋体"/>
              <w:bCs/>
              <w:sz w:val="32"/>
              <w:szCs w:val="32"/>
            </w:rPr>
            <w:t>五、一般公共预算财政拨款支出决算情况说明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_Toc1967638949 \h </w:instrText>
          </w:r>
          <w:r>
            <w:rPr>
              <w:rFonts w:hint="eastAsia" w:ascii="宋体" w:hAnsi="宋体" w:eastAsia="宋体" w:cs="宋体"/>
              <w:sz w:val="32"/>
              <w:szCs w:val="32"/>
            </w:rPr>
            <w:fldChar w:fldCharType="separate"/>
          </w:r>
          <w:r>
            <w:rPr>
              <w:rFonts w:hint="eastAsia" w:ascii="宋体" w:hAnsi="宋体" w:eastAsia="宋体" w:cs="宋体"/>
              <w:sz w:val="32"/>
              <w:szCs w:val="32"/>
            </w:rPr>
            <w:t>4</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_Toc1863054203 </w:instrText>
          </w:r>
          <w:r>
            <w:rPr>
              <w:rFonts w:hint="eastAsia" w:ascii="宋体" w:hAnsi="宋体" w:eastAsia="宋体" w:cs="宋体"/>
              <w:sz w:val="32"/>
              <w:szCs w:val="32"/>
            </w:rPr>
            <w:fldChar w:fldCharType="separate"/>
          </w:r>
          <w:r>
            <w:rPr>
              <w:rFonts w:hint="eastAsia" w:ascii="宋体" w:hAnsi="宋体" w:eastAsia="宋体" w:cs="宋体"/>
              <w:bCs/>
              <w:sz w:val="32"/>
              <w:szCs w:val="32"/>
            </w:rPr>
            <w:t>六、一般公共预算财政拨款基本支出决算情况说明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_Toc1863054203 \h </w:instrText>
          </w:r>
          <w:r>
            <w:rPr>
              <w:rFonts w:hint="eastAsia" w:ascii="宋体" w:hAnsi="宋体" w:eastAsia="宋体" w:cs="宋体"/>
              <w:sz w:val="32"/>
              <w:szCs w:val="32"/>
            </w:rPr>
            <w:fldChar w:fldCharType="separate"/>
          </w:r>
          <w:r>
            <w:rPr>
              <w:rFonts w:hint="eastAsia" w:ascii="宋体" w:hAnsi="宋体" w:eastAsia="宋体" w:cs="宋体"/>
              <w:sz w:val="32"/>
              <w:szCs w:val="32"/>
            </w:rPr>
            <w:t>4</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_Toc1700287114 </w:instrText>
          </w:r>
          <w:r>
            <w:rPr>
              <w:rFonts w:hint="eastAsia" w:ascii="宋体" w:hAnsi="宋体" w:eastAsia="宋体" w:cs="宋体"/>
              <w:sz w:val="32"/>
              <w:szCs w:val="32"/>
            </w:rPr>
            <w:fldChar w:fldCharType="separate"/>
          </w:r>
          <w:r>
            <w:rPr>
              <w:rFonts w:hint="eastAsia" w:ascii="宋体" w:hAnsi="宋体" w:eastAsia="宋体" w:cs="宋体"/>
              <w:bCs/>
              <w:sz w:val="32"/>
              <w:szCs w:val="32"/>
            </w:rPr>
            <w:t>七、政府性基金预算财政拨款支出决算情况说明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_Toc1700287114 \h </w:instrText>
          </w:r>
          <w:r>
            <w:rPr>
              <w:rFonts w:hint="eastAsia" w:ascii="宋体" w:hAnsi="宋体" w:eastAsia="宋体" w:cs="宋体"/>
              <w:sz w:val="32"/>
              <w:szCs w:val="32"/>
            </w:rPr>
            <w:fldChar w:fldCharType="separate"/>
          </w:r>
          <w:r>
            <w:rPr>
              <w:rFonts w:hint="eastAsia" w:ascii="宋体" w:hAnsi="宋体" w:eastAsia="宋体" w:cs="宋体"/>
              <w:sz w:val="32"/>
              <w:szCs w:val="32"/>
            </w:rPr>
            <w:t>5</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_Toc1681412981 </w:instrText>
          </w:r>
          <w:r>
            <w:rPr>
              <w:rFonts w:hint="eastAsia" w:ascii="宋体" w:hAnsi="宋体" w:eastAsia="宋体" w:cs="宋体"/>
              <w:sz w:val="32"/>
              <w:szCs w:val="32"/>
            </w:rPr>
            <w:fldChar w:fldCharType="separate"/>
          </w:r>
          <w:r>
            <w:rPr>
              <w:rFonts w:hint="eastAsia" w:ascii="宋体" w:hAnsi="宋体" w:eastAsia="宋体" w:cs="宋体"/>
              <w:bCs/>
              <w:sz w:val="32"/>
              <w:szCs w:val="32"/>
            </w:rPr>
            <w:t>八、国有资本经营预算财政拨款支出决算情况说明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_Toc1681412981 \h </w:instrText>
          </w:r>
          <w:r>
            <w:rPr>
              <w:rFonts w:hint="eastAsia" w:ascii="宋体" w:hAnsi="宋体" w:eastAsia="宋体" w:cs="宋体"/>
              <w:sz w:val="32"/>
              <w:szCs w:val="32"/>
            </w:rPr>
            <w:fldChar w:fldCharType="separate"/>
          </w:r>
          <w:r>
            <w:rPr>
              <w:rFonts w:hint="eastAsia" w:ascii="宋体" w:hAnsi="宋体" w:eastAsia="宋体" w:cs="宋体"/>
              <w:sz w:val="32"/>
              <w:szCs w:val="32"/>
            </w:rPr>
            <w:t>5</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_Toc1846333141 </w:instrText>
          </w:r>
          <w:r>
            <w:rPr>
              <w:rFonts w:hint="eastAsia" w:ascii="宋体" w:hAnsi="宋体" w:eastAsia="宋体" w:cs="宋体"/>
              <w:sz w:val="32"/>
              <w:szCs w:val="32"/>
            </w:rPr>
            <w:fldChar w:fldCharType="separate"/>
          </w:r>
          <w:r>
            <w:rPr>
              <w:rFonts w:hint="eastAsia" w:ascii="宋体" w:hAnsi="宋体" w:eastAsia="宋体" w:cs="宋体"/>
              <w:bCs/>
              <w:sz w:val="32"/>
              <w:szCs w:val="32"/>
            </w:rPr>
            <w:t>九、财政拨款“三公”经费支出决算情况说明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_Toc1846333141 \h </w:instrText>
          </w:r>
          <w:r>
            <w:rPr>
              <w:rFonts w:hint="eastAsia" w:ascii="宋体" w:hAnsi="宋体" w:eastAsia="宋体" w:cs="宋体"/>
              <w:sz w:val="32"/>
              <w:szCs w:val="32"/>
            </w:rPr>
            <w:fldChar w:fldCharType="separate"/>
          </w:r>
          <w:r>
            <w:rPr>
              <w:rFonts w:hint="eastAsia" w:ascii="宋体" w:hAnsi="宋体" w:eastAsia="宋体" w:cs="宋体"/>
              <w:sz w:val="32"/>
              <w:szCs w:val="32"/>
            </w:rPr>
            <w:t>5</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_Toc728353046 </w:instrText>
          </w:r>
          <w:r>
            <w:rPr>
              <w:rFonts w:hint="eastAsia" w:ascii="宋体" w:hAnsi="宋体" w:eastAsia="宋体" w:cs="宋体"/>
              <w:sz w:val="32"/>
              <w:szCs w:val="32"/>
            </w:rPr>
            <w:fldChar w:fldCharType="separate"/>
          </w:r>
          <w:r>
            <w:rPr>
              <w:rFonts w:hint="eastAsia" w:ascii="宋体" w:hAnsi="宋体" w:eastAsia="宋体" w:cs="宋体"/>
              <w:bCs/>
              <w:sz w:val="32"/>
              <w:szCs w:val="32"/>
            </w:rPr>
            <w:t>十、预算绩效情况说明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_Toc728353046 \h </w:instrText>
          </w:r>
          <w:r>
            <w:rPr>
              <w:rFonts w:hint="eastAsia" w:ascii="宋体" w:hAnsi="宋体" w:eastAsia="宋体" w:cs="宋体"/>
              <w:sz w:val="32"/>
              <w:szCs w:val="32"/>
            </w:rPr>
            <w:fldChar w:fldCharType="separate"/>
          </w:r>
          <w:r>
            <w:rPr>
              <w:rFonts w:hint="eastAsia" w:ascii="宋体" w:hAnsi="宋体" w:eastAsia="宋体" w:cs="宋体"/>
              <w:sz w:val="32"/>
              <w:szCs w:val="32"/>
            </w:rPr>
            <w:t>5</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_Toc1001538106 </w:instrText>
          </w:r>
          <w:r>
            <w:rPr>
              <w:rFonts w:hint="eastAsia" w:ascii="宋体" w:hAnsi="宋体" w:eastAsia="宋体" w:cs="宋体"/>
              <w:sz w:val="32"/>
              <w:szCs w:val="32"/>
            </w:rPr>
            <w:fldChar w:fldCharType="separate"/>
          </w:r>
          <w:r>
            <w:rPr>
              <w:rFonts w:hint="eastAsia" w:ascii="宋体" w:hAnsi="宋体" w:eastAsia="宋体" w:cs="宋体"/>
              <w:bCs/>
              <w:sz w:val="32"/>
              <w:szCs w:val="32"/>
              <w:lang w:val="zh-CN"/>
            </w:rPr>
            <w:t>十一、落实习惯过紧日子要求、保障重点支出情况说明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_Toc1001538106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6"/>
            <w:tabs>
              <w:tab w:val="right" w:leader="dot" w:pos="8845"/>
            </w:tabs>
            <w:rPr>
              <w:rFonts w:hint="eastAsia" w:ascii="宋体" w:hAnsi="宋体" w:eastAsia="宋体" w:cs="宋体"/>
              <w:sz w:val="32"/>
              <w:szCs w:val="32"/>
            </w:rPr>
          </w:pPr>
          <w:r>
            <w:rPr>
              <w:rFonts w:hint="eastAsia" w:ascii="宋体" w:hAnsi="宋体" w:eastAsia="宋体" w:cs="宋体"/>
              <w:color w:val="auto"/>
              <w:sz w:val="32"/>
              <w:szCs w:val="32"/>
            </w:rPr>
            <w:fldChar w:fldCharType="begin"/>
          </w:r>
          <w:r>
            <w:rPr>
              <w:rFonts w:hint="eastAsia" w:ascii="宋体" w:hAnsi="宋体" w:eastAsia="宋体" w:cs="宋体"/>
              <w:sz w:val="32"/>
              <w:szCs w:val="32"/>
            </w:rPr>
            <w:instrText xml:space="preserve"> HYPERLINK \l _Toc684106369 </w:instrText>
          </w:r>
          <w:r>
            <w:rPr>
              <w:rFonts w:hint="eastAsia" w:ascii="宋体" w:hAnsi="宋体" w:eastAsia="宋体" w:cs="宋体"/>
              <w:sz w:val="32"/>
              <w:szCs w:val="32"/>
            </w:rPr>
            <w:fldChar w:fldCharType="separate"/>
          </w:r>
          <w:r>
            <w:rPr>
              <w:rFonts w:hint="eastAsia" w:ascii="宋体" w:hAnsi="宋体" w:eastAsia="宋体" w:cs="宋体"/>
              <w:bCs/>
              <w:sz w:val="32"/>
              <w:szCs w:val="32"/>
            </w:rPr>
            <w:t>十</w:t>
          </w:r>
          <w:r>
            <w:rPr>
              <w:rFonts w:hint="eastAsia" w:ascii="宋体" w:hAnsi="宋体" w:eastAsia="宋体" w:cs="宋体"/>
              <w:bCs/>
              <w:sz w:val="32"/>
              <w:szCs w:val="32"/>
              <w:lang w:val="en-US" w:eastAsia="zh-CN"/>
            </w:rPr>
            <w:t>二</w:t>
          </w:r>
          <w:r>
            <w:rPr>
              <w:rFonts w:hint="eastAsia" w:ascii="宋体" w:hAnsi="宋体" w:eastAsia="宋体" w:cs="宋体"/>
              <w:bCs/>
              <w:sz w:val="32"/>
              <w:szCs w:val="32"/>
            </w:rPr>
            <w:t>、其他重要事项情况说明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_Toc684106369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color w:val="auto"/>
              <w:sz w:val="32"/>
              <w:szCs w:val="32"/>
            </w:rPr>
            <w:fldChar w:fldCharType="end"/>
          </w:r>
        </w:p>
        <w:p>
          <w:pPr>
            <w:pStyle w:val="15"/>
            <w:tabs>
              <w:tab w:val="right" w:leader="dot" w:pos="8845"/>
            </w:tabs>
            <w:rPr>
              <w:rFonts w:hint="eastAsia" w:ascii="方正黑体_GBK" w:hAnsi="方正黑体_GBK" w:eastAsia="方正黑体_GBK" w:cs="方正黑体_GBK"/>
              <w:b/>
              <w:sz w:val="32"/>
              <w:szCs w:val="32"/>
            </w:rPr>
          </w:pPr>
          <w:r>
            <w:rPr>
              <w:rFonts w:hint="eastAsia" w:ascii="方正黑体_GBK" w:hAnsi="方正黑体_GBK" w:eastAsia="方正黑体_GBK" w:cs="方正黑体_GBK"/>
              <w:b w:val="0"/>
              <w:bCs/>
              <w:color w:val="auto"/>
              <w:sz w:val="32"/>
              <w:szCs w:val="32"/>
            </w:rPr>
            <w:fldChar w:fldCharType="begin"/>
          </w:r>
          <w:r>
            <w:rPr>
              <w:rFonts w:hint="eastAsia" w:ascii="方正黑体_GBK" w:hAnsi="方正黑体_GBK" w:eastAsia="方正黑体_GBK" w:cs="方正黑体_GBK"/>
              <w:b w:val="0"/>
              <w:bCs/>
              <w:sz w:val="32"/>
              <w:szCs w:val="32"/>
            </w:rPr>
            <w:instrText xml:space="preserve"> HYPERLINK \l _Toc668184612 </w:instrText>
          </w:r>
          <w:r>
            <w:rPr>
              <w:rFonts w:hint="eastAsia" w:ascii="方正黑体_GBK" w:hAnsi="方正黑体_GBK" w:eastAsia="方正黑体_GBK" w:cs="方正黑体_GBK"/>
              <w:b w:val="0"/>
              <w:bCs/>
              <w:sz w:val="32"/>
              <w:szCs w:val="32"/>
            </w:rPr>
            <w:fldChar w:fldCharType="separate"/>
          </w:r>
          <w:r>
            <w:rPr>
              <w:rFonts w:hint="eastAsia" w:ascii="方正黑体_GBK" w:hAnsi="方正黑体_GBK" w:eastAsia="方正黑体_GBK" w:cs="方正黑体_GBK"/>
              <w:b w:val="0"/>
              <w:bCs/>
              <w:sz w:val="32"/>
              <w:szCs w:val="32"/>
            </w:rPr>
            <w:t>第四部分  名词解释</w:t>
          </w:r>
          <w:r>
            <w:rPr>
              <w:rFonts w:hint="eastAsia" w:ascii="方正黑体_GBK" w:hAnsi="方正黑体_GBK" w:eastAsia="方正黑体_GBK" w:cs="方正黑体_GBK"/>
              <w:b w:val="0"/>
              <w:bCs/>
              <w:sz w:val="32"/>
              <w:szCs w:val="32"/>
            </w:rPr>
            <w:tab/>
          </w:r>
          <w:r>
            <w:rPr>
              <w:rFonts w:hint="eastAsia" w:ascii="方正黑体_GBK" w:hAnsi="方正黑体_GBK" w:eastAsia="方正黑体_GBK" w:cs="方正黑体_GBK"/>
              <w:b w:val="0"/>
              <w:bCs/>
              <w:sz w:val="32"/>
              <w:szCs w:val="32"/>
            </w:rPr>
            <w:fldChar w:fldCharType="begin"/>
          </w:r>
          <w:r>
            <w:rPr>
              <w:rFonts w:hint="eastAsia" w:ascii="方正黑体_GBK" w:hAnsi="方正黑体_GBK" w:eastAsia="方正黑体_GBK" w:cs="方正黑体_GBK"/>
              <w:b w:val="0"/>
              <w:bCs/>
              <w:sz w:val="32"/>
              <w:szCs w:val="32"/>
            </w:rPr>
            <w:instrText xml:space="preserve"> PAGEREF _Toc668184612 \h </w:instrText>
          </w:r>
          <w:r>
            <w:rPr>
              <w:rFonts w:hint="eastAsia" w:ascii="方正黑体_GBK" w:hAnsi="方正黑体_GBK" w:eastAsia="方正黑体_GBK" w:cs="方正黑体_GBK"/>
              <w:b w:val="0"/>
              <w:bCs/>
              <w:sz w:val="32"/>
              <w:szCs w:val="32"/>
            </w:rPr>
            <w:fldChar w:fldCharType="separate"/>
          </w:r>
          <w:r>
            <w:rPr>
              <w:rFonts w:hint="eastAsia" w:ascii="方正黑体_GBK" w:hAnsi="方正黑体_GBK" w:eastAsia="方正黑体_GBK" w:cs="方正黑体_GBK"/>
              <w:b w:val="0"/>
              <w:bCs/>
              <w:sz w:val="32"/>
              <w:szCs w:val="32"/>
            </w:rPr>
            <w:t>7</w:t>
          </w:r>
          <w:r>
            <w:rPr>
              <w:rFonts w:hint="eastAsia" w:ascii="方正黑体_GBK" w:hAnsi="方正黑体_GBK" w:eastAsia="方正黑体_GBK" w:cs="方正黑体_GBK"/>
              <w:b w:val="0"/>
              <w:bCs/>
              <w:sz w:val="32"/>
              <w:szCs w:val="32"/>
            </w:rPr>
            <w:fldChar w:fldCharType="end"/>
          </w:r>
          <w:r>
            <w:rPr>
              <w:rFonts w:hint="eastAsia" w:ascii="方正黑体_GBK" w:hAnsi="方正黑体_GBK" w:eastAsia="方正黑体_GBK" w:cs="方正黑体_GBK"/>
              <w:b w:val="0"/>
              <w:bCs/>
              <w:color w:val="auto"/>
              <w:sz w:val="32"/>
              <w:szCs w:val="32"/>
            </w:rPr>
            <w:fldChar w:fldCharType="end"/>
          </w:r>
        </w:p>
        <w:p>
          <w:pPr>
            <w:spacing w:line="578" w:lineRule="exact"/>
            <w:jc w:val="both"/>
            <w:rPr>
              <w:rFonts w:hint="eastAsia" w:ascii="黑体" w:hAnsi="ˎ̥" w:eastAsia="黑体"/>
              <w:color w:val="auto"/>
              <w:sz w:val="32"/>
              <w:szCs w:val="32"/>
            </w:rPr>
          </w:pPr>
          <w:r>
            <w:rPr>
              <w:rFonts w:hint="eastAsia" w:ascii="方正黑体_GBK" w:hAnsi="方正黑体_GBK" w:eastAsia="方正黑体_GBK" w:cs="方正黑体_GBK"/>
              <w:b/>
              <w:color w:val="auto"/>
              <w:sz w:val="32"/>
              <w:szCs w:val="32"/>
            </w:rPr>
            <w:fldChar w:fldCharType="end"/>
          </w:r>
        </w:p>
      </w:sdtContent>
    </w:sdt>
    <w:p>
      <w:pPr>
        <w:spacing w:line="578" w:lineRule="exact"/>
        <w:jc w:val="center"/>
        <w:outlineLvl w:val="0"/>
        <w:rPr>
          <w:rFonts w:hint="eastAsia" w:ascii="黑体" w:hAnsi="ˎ̥" w:eastAsia="黑体"/>
          <w:color w:val="auto"/>
          <w:sz w:val="32"/>
          <w:szCs w:val="32"/>
        </w:rPr>
      </w:pPr>
      <w:bookmarkStart w:id="10" w:name="_Toc11998966"/>
      <w:r>
        <w:rPr>
          <w:rFonts w:hint="eastAsia" w:ascii="黑体" w:hAnsi="ˎ̥" w:eastAsia="黑体"/>
          <w:color w:val="auto"/>
          <w:sz w:val="32"/>
          <w:szCs w:val="32"/>
        </w:rPr>
        <w:t xml:space="preserve">第一部分  </w:t>
      </w:r>
      <w:bookmarkEnd w:id="0"/>
      <w:bookmarkEnd w:id="1"/>
      <w:bookmarkEnd w:id="2"/>
      <w:bookmarkEnd w:id="3"/>
      <w:bookmarkEnd w:id="4"/>
      <w:r>
        <w:rPr>
          <w:rFonts w:hint="eastAsia" w:ascii="黑体" w:hAnsi="ˎ̥" w:eastAsia="黑体"/>
          <w:color w:val="auto"/>
          <w:sz w:val="32"/>
          <w:szCs w:val="32"/>
        </w:rPr>
        <w:t>基本情况</w:t>
      </w:r>
      <w:bookmarkEnd w:id="10"/>
    </w:p>
    <w:p>
      <w:pPr>
        <w:spacing w:line="578" w:lineRule="exact"/>
        <w:ind w:firstLine="640" w:firstLineChars="200"/>
        <w:rPr>
          <w:rFonts w:hint="eastAsia" w:ascii="楷体" w:hAnsi="楷体" w:eastAsia="楷体" w:cs="楷体"/>
          <w:color w:val="auto"/>
          <w:sz w:val="32"/>
          <w:szCs w:val="32"/>
        </w:rPr>
      </w:pPr>
    </w:p>
    <w:bookmarkEnd w:id="5"/>
    <w:p>
      <w:pPr>
        <w:numPr>
          <w:ilvl w:val="0"/>
          <w:numId w:val="1"/>
        </w:numPr>
        <w:spacing w:line="578" w:lineRule="exact"/>
        <w:ind w:firstLine="640" w:firstLineChars="200"/>
        <w:outlineLvl w:val="1"/>
        <w:rPr>
          <w:rFonts w:hint="eastAsia" w:ascii="黑体" w:hAnsi="黑体" w:eastAsia="黑体" w:cs="黑体"/>
          <w:color w:val="auto"/>
          <w:sz w:val="32"/>
          <w:szCs w:val="32"/>
        </w:rPr>
      </w:pPr>
      <w:bookmarkStart w:id="11" w:name="_Toc222942709"/>
      <w:r>
        <w:rPr>
          <w:rFonts w:hint="eastAsia" w:ascii="黑体" w:hAnsi="黑体" w:eastAsia="黑体" w:cs="黑体"/>
          <w:color w:val="auto"/>
          <w:sz w:val="32"/>
          <w:szCs w:val="32"/>
        </w:rPr>
        <w:t>单位职责</w:t>
      </w:r>
      <w:bookmarkEnd w:id="6"/>
      <w:bookmarkEnd w:id="7"/>
      <w:bookmarkEnd w:id="8"/>
      <w:bookmarkEnd w:id="9"/>
      <w:bookmarkEnd w:id="11"/>
    </w:p>
    <w:p>
      <w:pPr>
        <w:keepNext w:val="0"/>
        <w:keepLines w:val="0"/>
        <w:widowControl/>
        <w:suppressLineNumbers w:val="0"/>
        <w:spacing w:line="520" w:lineRule="exact"/>
        <w:ind w:firstLine="640" w:firstLineChars="200"/>
        <w:jc w:val="left"/>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海南省债务金融监测评价中心隶属海南省财政厅，是全额拨款的正处级事业单位。</w:t>
      </w:r>
    </w:p>
    <w:p>
      <w:pPr>
        <w:keepNext w:val="0"/>
        <w:keepLines w:val="0"/>
        <w:widowControl/>
        <w:suppressLineNumbers w:val="0"/>
        <w:spacing w:line="520" w:lineRule="exact"/>
        <w:ind w:firstLine="640" w:firstLineChars="200"/>
        <w:jc w:val="left"/>
        <w:rPr>
          <w:rFonts w:hint="eastAsia" w:ascii="宋体" w:hAnsi="宋体" w:eastAsia="宋体" w:cs="宋体"/>
          <w:color w:val="auto"/>
          <w:sz w:val="32"/>
          <w:szCs w:val="32"/>
        </w:rPr>
      </w:pPr>
      <w:r>
        <w:rPr>
          <w:rFonts w:hint="eastAsia" w:ascii="宋体" w:hAnsi="宋体" w:eastAsia="宋体" w:cs="宋体"/>
          <w:color w:val="auto"/>
          <w:kern w:val="0"/>
          <w:sz w:val="32"/>
          <w:szCs w:val="32"/>
          <w:lang w:val="en-US" w:eastAsia="zh-CN" w:bidi="ar"/>
        </w:rPr>
        <w:t xml:space="preserve">（一）贯彻执行党和国家有关地方债务和国有金融资本 </w:t>
      </w:r>
    </w:p>
    <w:p>
      <w:pPr>
        <w:keepNext w:val="0"/>
        <w:keepLines w:val="0"/>
        <w:widowControl/>
        <w:suppressLineNumbers w:val="0"/>
        <w:spacing w:line="520" w:lineRule="exact"/>
        <w:jc w:val="left"/>
        <w:rPr>
          <w:rFonts w:hint="eastAsia" w:ascii="宋体" w:hAnsi="宋体" w:eastAsia="宋体" w:cs="宋体"/>
          <w:color w:val="auto"/>
          <w:sz w:val="32"/>
          <w:szCs w:val="32"/>
        </w:rPr>
      </w:pPr>
      <w:r>
        <w:rPr>
          <w:rFonts w:hint="eastAsia" w:ascii="宋体" w:hAnsi="宋体" w:eastAsia="宋体" w:cs="宋体"/>
          <w:color w:val="auto"/>
          <w:kern w:val="0"/>
          <w:sz w:val="32"/>
          <w:szCs w:val="32"/>
          <w:lang w:val="en-US" w:eastAsia="zh-CN" w:bidi="ar"/>
        </w:rPr>
        <w:t xml:space="preserve">管理工作的方针政策、法律法规和规章制度。 </w:t>
      </w:r>
    </w:p>
    <w:p>
      <w:pPr>
        <w:keepNext w:val="0"/>
        <w:keepLines w:val="0"/>
        <w:widowControl/>
        <w:suppressLineNumbers w:val="0"/>
        <w:spacing w:line="520" w:lineRule="exact"/>
        <w:ind w:firstLine="640" w:firstLineChars="200"/>
        <w:jc w:val="left"/>
        <w:rPr>
          <w:rFonts w:hint="eastAsia" w:ascii="宋体" w:hAnsi="宋体" w:eastAsia="宋体" w:cs="宋体"/>
          <w:color w:val="auto"/>
          <w:sz w:val="32"/>
          <w:szCs w:val="32"/>
        </w:rPr>
      </w:pPr>
      <w:r>
        <w:rPr>
          <w:rFonts w:hint="eastAsia" w:ascii="宋体" w:hAnsi="宋体" w:eastAsia="宋体" w:cs="宋体"/>
          <w:color w:val="auto"/>
          <w:kern w:val="0"/>
          <w:sz w:val="32"/>
          <w:szCs w:val="32"/>
          <w:lang w:val="en-US" w:eastAsia="zh-CN" w:bidi="ar"/>
        </w:rPr>
        <w:t xml:space="preserve">（二）承担地方债务统计监测和专项债券项目审核等工作。 </w:t>
      </w:r>
    </w:p>
    <w:p>
      <w:pPr>
        <w:keepNext w:val="0"/>
        <w:keepLines w:val="0"/>
        <w:widowControl/>
        <w:suppressLineNumbers w:val="0"/>
        <w:spacing w:line="520" w:lineRule="exact"/>
        <w:ind w:firstLine="640" w:firstLineChars="200"/>
        <w:jc w:val="left"/>
        <w:rPr>
          <w:rFonts w:hint="eastAsia" w:ascii="宋体" w:hAnsi="宋体" w:eastAsia="宋体" w:cs="宋体"/>
          <w:color w:val="auto"/>
          <w:sz w:val="32"/>
          <w:szCs w:val="32"/>
        </w:rPr>
      </w:pPr>
      <w:r>
        <w:rPr>
          <w:rFonts w:hint="eastAsia" w:ascii="宋体" w:hAnsi="宋体" w:eastAsia="宋体" w:cs="宋体"/>
          <w:color w:val="auto"/>
          <w:kern w:val="0"/>
          <w:sz w:val="32"/>
          <w:szCs w:val="32"/>
          <w:lang w:val="en-US" w:eastAsia="zh-CN" w:bidi="ar"/>
        </w:rPr>
        <w:t xml:space="preserve">（三）承担国有金融资本经营预算管理、企业绩效考核、 </w:t>
      </w:r>
    </w:p>
    <w:p>
      <w:pPr>
        <w:keepNext w:val="0"/>
        <w:keepLines w:val="0"/>
        <w:widowControl/>
        <w:suppressLineNumbers w:val="0"/>
        <w:spacing w:line="520" w:lineRule="exact"/>
        <w:jc w:val="left"/>
        <w:rPr>
          <w:rFonts w:hint="eastAsia" w:ascii="宋体" w:hAnsi="宋体" w:eastAsia="宋体" w:cs="宋体"/>
          <w:color w:val="auto"/>
          <w:sz w:val="32"/>
          <w:szCs w:val="32"/>
        </w:rPr>
      </w:pPr>
      <w:r>
        <w:rPr>
          <w:rFonts w:hint="eastAsia" w:ascii="宋体" w:hAnsi="宋体" w:eastAsia="宋体" w:cs="宋体"/>
          <w:color w:val="auto"/>
          <w:kern w:val="0"/>
          <w:sz w:val="32"/>
          <w:szCs w:val="32"/>
          <w:lang w:val="en-US" w:eastAsia="zh-CN" w:bidi="ar"/>
        </w:rPr>
        <w:t xml:space="preserve">负责人薪酬管理等事务性工作。 </w:t>
      </w:r>
    </w:p>
    <w:p>
      <w:pPr>
        <w:widowControl/>
        <w:snapToGrid/>
        <w:spacing w:line="520" w:lineRule="exact"/>
        <w:ind w:firstLine="640" w:firstLineChars="200"/>
        <w:jc w:val="left"/>
        <w:rPr>
          <w:rFonts w:hint="eastAsia" w:ascii="宋体" w:hAnsi="宋体" w:eastAsia="宋体" w:cs="宋体"/>
          <w:color w:val="auto"/>
          <w:sz w:val="32"/>
          <w:szCs w:val="32"/>
        </w:rPr>
      </w:pPr>
      <w:r>
        <w:rPr>
          <w:rFonts w:hint="eastAsia" w:ascii="宋体" w:hAnsi="宋体" w:eastAsia="宋体" w:cs="宋体"/>
          <w:color w:val="auto"/>
          <w:kern w:val="0"/>
          <w:sz w:val="32"/>
          <w:szCs w:val="32"/>
          <w:lang w:val="en-US" w:eastAsia="zh-CN" w:bidi="ar"/>
        </w:rPr>
        <w:t>（四）承办上级主管部门交办的其他工作</w:t>
      </w:r>
      <w:r>
        <w:rPr>
          <w:rFonts w:hint="eastAsia" w:ascii="宋体" w:hAnsi="宋体" w:eastAsia="宋体" w:cs="宋体"/>
          <w:color w:val="auto"/>
          <w:sz w:val="32"/>
          <w:szCs w:val="32"/>
          <w:lang w:val="en-US" w:eastAsia="zh-CN"/>
        </w:rPr>
        <w:t>。</w:t>
      </w:r>
    </w:p>
    <w:p>
      <w:pPr>
        <w:spacing w:line="578" w:lineRule="exact"/>
        <w:ind w:firstLine="640" w:firstLineChars="200"/>
        <w:outlineLvl w:val="1"/>
        <w:rPr>
          <w:rFonts w:hint="eastAsia" w:ascii="黑体" w:hAnsi="黑体" w:eastAsia="黑体" w:cs="黑体"/>
          <w:color w:val="auto"/>
          <w:sz w:val="32"/>
          <w:szCs w:val="32"/>
        </w:rPr>
      </w:pPr>
      <w:bookmarkStart w:id="12" w:name="_Toc24474_WPSOffice_Level2"/>
      <w:bookmarkStart w:id="13" w:name="_Toc2071893409"/>
      <w:bookmarkStart w:id="14" w:name="_Toc17796_WPSOffice_Level2"/>
      <w:bookmarkStart w:id="15" w:name="_Toc24059_WPSOffice_Level2"/>
      <w:bookmarkStart w:id="16" w:name="_Toc6572_WPSOffice_Level2"/>
      <w:r>
        <w:rPr>
          <w:rFonts w:hint="eastAsia" w:ascii="黑体" w:hAnsi="黑体" w:eastAsia="黑体" w:cs="黑体"/>
          <w:color w:val="auto"/>
          <w:sz w:val="32"/>
          <w:szCs w:val="32"/>
        </w:rPr>
        <w:t>二、机构设置</w:t>
      </w:r>
      <w:bookmarkEnd w:id="12"/>
      <w:bookmarkEnd w:id="13"/>
      <w:bookmarkEnd w:id="14"/>
      <w:bookmarkEnd w:id="15"/>
      <w:bookmarkEnd w:id="16"/>
    </w:p>
    <w:p>
      <w:pPr>
        <w:spacing w:line="578" w:lineRule="exact"/>
        <w:ind w:firstLine="640" w:firstLineChars="200"/>
        <w:rPr>
          <w:rFonts w:hint="eastAsia" w:ascii="宋体" w:hAnsi="宋体" w:cs="宋体"/>
          <w:color w:val="auto"/>
          <w:sz w:val="32"/>
          <w:szCs w:val="32"/>
          <w:lang w:val="en-US" w:eastAsia="zh-CN"/>
        </w:rPr>
      </w:pPr>
      <w:r>
        <w:rPr>
          <w:rFonts w:hint="eastAsia" w:ascii="宋体" w:hAnsi="宋体" w:eastAsia="宋体" w:cs="宋体"/>
          <w:color w:val="auto"/>
          <w:sz w:val="32"/>
          <w:szCs w:val="32"/>
          <w:lang w:val="en-US" w:eastAsia="zh-CN"/>
        </w:rPr>
        <w:t>单位设内设机构债务监测科、金融评价科</w:t>
      </w:r>
      <w:r>
        <w:rPr>
          <w:rFonts w:hint="eastAsia" w:ascii="宋体" w:hAnsi="宋体" w:cs="宋体"/>
          <w:color w:val="auto"/>
          <w:sz w:val="32"/>
          <w:szCs w:val="32"/>
          <w:lang w:val="en-US" w:eastAsia="zh-CN"/>
        </w:rPr>
        <w:t>。</w:t>
      </w:r>
    </w:p>
    <w:p>
      <w:pPr>
        <w:spacing w:line="578" w:lineRule="exact"/>
        <w:ind w:firstLine="642" w:firstLineChars="200"/>
        <w:outlineLvl w:val="1"/>
        <w:rPr>
          <w:rFonts w:hint="default" w:ascii="宋体" w:hAnsi="宋体" w:eastAsia="宋体" w:cs="宋体"/>
          <w:b/>
          <w:bCs/>
          <w:color w:val="auto"/>
          <w:sz w:val="32"/>
          <w:szCs w:val="32"/>
          <w:lang w:val="en-US"/>
        </w:rPr>
      </w:pPr>
      <w:bookmarkStart w:id="17" w:name="_Toc894911704"/>
      <w:r>
        <w:rPr>
          <w:rFonts w:hint="eastAsia" w:ascii="宋体" w:hAnsi="宋体" w:cs="宋体"/>
          <w:b/>
          <w:bCs/>
          <w:color w:val="auto"/>
          <w:sz w:val="32"/>
          <w:szCs w:val="32"/>
          <w:lang w:val="en-US" w:eastAsia="zh-CN"/>
        </w:rPr>
        <w:t>本单位本年成立。</w:t>
      </w:r>
      <w:bookmarkEnd w:id="17"/>
    </w:p>
    <w:p>
      <w:pPr>
        <w:spacing w:line="578" w:lineRule="exact"/>
        <w:jc w:val="center"/>
        <w:rPr>
          <w:rFonts w:hint="eastAsia" w:ascii="黑体" w:hAnsi="ˎ̥" w:eastAsia="黑体"/>
          <w:color w:val="auto"/>
          <w:sz w:val="32"/>
          <w:szCs w:val="32"/>
        </w:rPr>
      </w:pPr>
      <w:bookmarkStart w:id="18" w:name="_Toc6234_WPSOffice_Level1"/>
      <w:bookmarkStart w:id="19" w:name="_Toc30451_WPSOffice_Level1"/>
      <w:bookmarkStart w:id="20" w:name="_Toc8164_WPSOffice_Level1"/>
      <w:bookmarkStart w:id="21" w:name="_Toc30690_WPSOffice_Level1"/>
      <w:bookmarkStart w:id="22" w:name="_Toc15521_WPSOffice_Level1"/>
      <w:bookmarkStart w:id="23" w:name="_Toc6211_WPSOffice_Level2"/>
      <w:bookmarkStart w:id="24" w:name="_Toc11518_WPSOffice_Level2"/>
      <w:bookmarkStart w:id="25" w:name="_Toc4029_WPSOffice_Level2"/>
      <w:bookmarkStart w:id="26" w:name="_Toc32472_WPSOffice_Level2"/>
      <w:bookmarkStart w:id="27" w:name="_Toc32695_WPSOffice_Level2"/>
      <w:bookmarkStart w:id="28" w:name="_Toc8867_WPSOffice_Level2"/>
    </w:p>
    <w:p>
      <w:pPr>
        <w:spacing w:line="578" w:lineRule="exact"/>
        <w:jc w:val="center"/>
        <w:outlineLvl w:val="0"/>
        <w:rPr>
          <w:rFonts w:hint="eastAsia" w:ascii="黑体" w:hAnsi="ˎ̥" w:eastAsia="黑体"/>
          <w:color w:val="auto"/>
          <w:sz w:val="32"/>
          <w:szCs w:val="32"/>
        </w:rPr>
      </w:pPr>
      <w:bookmarkStart w:id="29" w:name="_Toc1733238157"/>
      <w:r>
        <w:rPr>
          <w:rFonts w:hint="eastAsia" w:ascii="黑体" w:hAnsi="ˎ̥" w:eastAsia="黑体"/>
          <w:color w:val="auto"/>
          <w:sz w:val="32"/>
          <w:szCs w:val="32"/>
        </w:rPr>
        <w:t xml:space="preserve">第二部分  </w:t>
      </w:r>
      <w:r>
        <w:rPr>
          <w:rFonts w:hint="default" w:ascii="黑体" w:hAnsi="ˎ̥" w:eastAsia="黑体"/>
          <w:color w:val="auto"/>
          <w:sz w:val="32"/>
          <w:szCs w:val="32"/>
          <w:lang w:val="en-US"/>
        </w:rPr>
        <w:t>2025</w:t>
      </w:r>
      <w:r>
        <w:rPr>
          <w:rFonts w:hint="eastAsia" w:ascii="黑体" w:hAnsi="ˎ̥" w:eastAsia="黑体"/>
          <w:color w:val="auto"/>
          <w:sz w:val="32"/>
          <w:szCs w:val="32"/>
        </w:rPr>
        <w:t>年度部门决算公开报表</w:t>
      </w:r>
      <w:bookmarkEnd w:id="18"/>
      <w:bookmarkEnd w:id="19"/>
      <w:bookmarkEnd w:id="20"/>
      <w:bookmarkEnd w:id="21"/>
      <w:bookmarkEnd w:id="22"/>
      <w:bookmarkEnd w:id="29"/>
    </w:p>
    <w:p>
      <w:pPr>
        <w:spacing w:line="578" w:lineRule="exact"/>
        <w:ind w:firstLine="645"/>
        <w:rPr>
          <w:rFonts w:hint="eastAsia" w:ascii="黑体" w:hAnsi="黑体" w:eastAsia="黑体" w:cs="黑体"/>
          <w:color w:val="auto"/>
          <w:sz w:val="32"/>
          <w:szCs w:val="32"/>
        </w:rPr>
      </w:pPr>
    </w:p>
    <w:p>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一、收入支出决算公开表</w:t>
      </w:r>
      <w:bookmarkEnd w:id="23"/>
      <w:bookmarkEnd w:id="24"/>
      <w:bookmarkEnd w:id="25"/>
      <w:bookmarkEnd w:id="26"/>
      <w:bookmarkEnd w:id="27"/>
      <w:bookmarkEnd w:id="28"/>
    </w:p>
    <w:p>
      <w:pPr>
        <w:spacing w:line="578" w:lineRule="exact"/>
        <w:ind w:firstLine="645"/>
        <w:rPr>
          <w:rFonts w:hint="eastAsia" w:ascii="黑体" w:hAnsi="黑体" w:eastAsia="黑体" w:cs="黑体"/>
          <w:color w:val="auto"/>
          <w:sz w:val="32"/>
          <w:szCs w:val="32"/>
        </w:rPr>
      </w:pPr>
      <w:bookmarkStart w:id="30" w:name="_Toc30334_WPSOffice_Level2"/>
      <w:bookmarkStart w:id="31" w:name="_Toc26621_WPSOffice_Level2"/>
      <w:bookmarkStart w:id="32" w:name="_Toc28622_WPSOffice_Level2"/>
      <w:bookmarkStart w:id="33" w:name="_Toc14349_WPSOffice_Level2"/>
      <w:bookmarkStart w:id="34" w:name="_Toc23139_WPSOffice_Level2"/>
      <w:bookmarkStart w:id="35" w:name="_Toc25608_WPSOffice_Level2"/>
      <w:r>
        <w:rPr>
          <w:rFonts w:hint="eastAsia" w:ascii="黑体" w:hAnsi="黑体" w:eastAsia="黑体" w:cs="黑体"/>
          <w:color w:val="auto"/>
          <w:sz w:val="32"/>
          <w:szCs w:val="32"/>
        </w:rPr>
        <w:t>二、收入决算公开表</w:t>
      </w:r>
      <w:bookmarkEnd w:id="30"/>
      <w:bookmarkEnd w:id="31"/>
      <w:bookmarkEnd w:id="32"/>
      <w:bookmarkEnd w:id="33"/>
      <w:bookmarkEnd w:id="34"/>
      <w:bookmarkEnd w:id="35"/>
      <w:bookmarkStart w:id="36" w:name="_Toc3262_WPSOffice_Level2"/>
      <w:bookmarkStart w:id="37" w:name="_Toc5489_WPSOffice_Level2"/>
      <w:bookmarkStart w:id="38" w:name="_Toc17626_WPSOffice_Level2"/>
      <w:bookmarkStart w:id="39" w:name="_Toc14658_WPSOffice_Level2"/>
      <w:bookmarkStart w:id="40" w:name="_Toc13854_WPSOffice_Level2"/>
      <w:bookmarkStart w:id="41" w:name="_Toc17858_WPSOffice_Level2"/>
    </w:p>
    <w:p>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三、支出决算公开表</w:t>
      </w:r>
      <w:bookmarkEnd w:id="36"/>
      <w:bookmarkEnd w:id="37"/>
      <w:bookmarkEnd w:id="38"/>
      <w:bookmarkEnd w:id="39"/>
      <w:bookmarkEnd w:id="40"/>
      <w:bookmarkEnd w:id="41"/>
      <w:bookmarkStart w:id="42" w:name="_Toc13701_WPSOffice_Level2"/>
      <w:bookmarkStart w:id="43" w:name="_Toc23493_WPSOffice_Level2"/>
      <w:bookmarkStart w:id="44" w:name="_Toc21415_WPSOffice_Level2"/>
      <w:bookmarkStart w:id="45" w:name="_Toc4265_WPSOffice_Level2"/>
      <w:bookmarkStart w:id="46" w:name="_Toc7988_WPSOffice_Level2"/>
      <w:bookmarkStart w:id="47" w:name="_Toc23591_WPSOffice_Level2"/>
    </w:p>
    <w:p>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四、财政拨款收入支出决算公开表</w:t>
      </w:r>
      <w:bookmarkEnd w:id="42"/>
      <w:bookmarkEnd w:id="43"/>
      <w:bookmarkEnd w:id="44"/>
      <w:bookmarkEnd w:id="45"/>
      <w:bookmarkEnd w:id="46"/>
      <w:bookmarkEnd w:id="47"/>
    </w:p>
    <w:p>
      <w:pPr>
        <w:spacing w:line="578" w:lineRule="exact"/>
        <w:ind w:firstLine="645"/>
        <w:rPr>
          <w:rFonts w:hint="eastAsia" w:ascii="黑体" w:hAnsi="黑体" w:eastAsia="黑体" w:cs="黑体"/>
          <w:color w:val="auto"/>
          <w:sz w:val="32"/>
          <w:szCs w:val="32"/>
        </w:rPr>
      </w:pPr>
      <w:bookmarkStart w:id="48" w:name="_Toc22783_WPSOffice_Level2"/>
      <w:bookmarkStart w:id="49" w:name="_Toc7879_WPSOffice_Level2"/>
      <w:bookmarkStart w:id="50" w:name="_Toc23829_WPSOffice_Level2"/>
      <w:bookmarkStart w:id="51" w:name="_Toc25166_WPSOffice_Level2"/>
      <w:bookmarkStart w:id="52" w:name="_Toc13516_WPSOffice_Level2"/>
      <w:bookmarkStart w:id="53" w:name="_Toc2158_WPSOffice_Level2"/>
      <w:r>
        <w:rPr>
          <w:rFonts w:hint="eastAsia" w:ascii="黑体" w:hAnsi="黑体" w:eastAsia="黑体" w:cs="黑体"/>
          <w:color w:val="auto"/>
          <w:sz w:val="32"/>
          <w:szCs w:val="32"/>
        </w:rPr>
        <w:t>五、一般公共预算财政拨款收入支出决算</w:t>
      </w:r>
      <w:bookmarkEnd w:id="48"/>
      <w:bookmarkEnd w:id="49"/>
      <w:bookmarkEnd w:id="50"/>
      <w:bookmarkEnd w:id="51"/>
      <w:r>
        <w:rPr>
          <w:rFonts w:hint="eastAsia" w:ascii="黑体" w:hAnsi="黑体" w:eastAsia="黑体" w:cs="黑体"/>
          <w:color w:val="auto"/>
          <w:sz w:val="32"/>
          <w:szCs w:val="32"/>
        </w:rPr>
        <w:t>公开表</w:t>
      </w:r>
      <w:bookmarkEnd w:id="52"/>
      <w:bookmarkEnd w:id="53"/>
      <w:bookmarkStart w:id="54" w:name="_Toc17833_WPSOffice_Level2"/>
      <w:bookmarkStart w:id="55" w:name="_Toc2632_WPSOffice_Level2"/>
      <w:bookmarkStart w:id="56" w:name="_Toc17283_WPSOffice_Level2"/>
      <w:bookmarkStart w:id="57" w:name="_Toc8373_WPSOffice_Level2"/>
      <w:bookmarkStart w:id="58" w:name="_Toc5343_WPSOffice_Level2"/>
      <w:bookmarkStart w:id="59" w:name="_Toc25362_WPSOffice_Level2"/>
    </w:p>
    <w:p>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六、一般公共预算财政拨款基本支出决算</w:t>
      </w:r>
      <w:bookmarkEnd w:id="54"/>
      <w:bookmarkEnd w:id="55"/>
      <w:bookmarkEnd w:id="56"/>
      <w:bookmarkEnd w:id="57"/>
      <w:bookmarkEnd w:id="58"/>
      <w:bookmarkEnd w:id="59"/>
      <w:r>
        <w:rPr>
          <w:rFonts w:hint="eastAsia" w:ascii="黑体" w:hAnsi="黑体" w:eastAsia="黑体" w:cs="黑体"/>
          <w:color w:val="auto"/>
          <w:sz w:val="32"/>
          <w:szCs w:val="32"/>
        </w:rPr>
        <w:t>公开表</w:t>
      </w:r>
    </w:p>
    <w:p>
      <w:pPr>
        <w:spacing w:line="578" w:lineRule="exact"/>
        <w:ind w:left="1118" w:leftChars="304" w:hanging="480" w:hangingChars="150"/>
        <w:rPr>
          <w:rFonts w:hint="eastAsia" w:ascii="黑体" w:hAnsi="黑体" w:eastAsia="黑体" w:cs="黑体"/>
          <w:color w:val="auto"/>
          <w:sz w:val="32"/>
          <w:szCs w:val="32"/>
        </w:rPr>
      </w:pPr>
      <w:bookmarkStart w:id="60" w:name="_Toc6020_WPSOffice_Level2"/>
      <w:bookmarkStart w:id="61" w:name="_Toc1533_WPSOffice_Level2"/>
      <w:bookmarkStart w:id="62" w:name="_Toc5594_WPSOffice_Level2"/>
      <w:bookmarkStart w:id="63" w:name="_Toc21310_WPSOffice_Level2"/>
      <w:bookmarkStart w:id="64" w:name="_Toc11799_WPSOffice_Level2"/>
      <w:bookmarkStart w:id="65" w:name="_Toc13345_WPSOffice_Level2"/>
      <w:r>
        <w:rPr>
          <w:rFonts w:hint="eastAsia" w:ascii="黑体" w:hAnsi="黑体" w:eastAsia="黑体" w:cs="黑体"/>
          <w:color w:val="auto"/>
          <w:sz w:val="32"/>
          <w:szCs w:val="32"/>
        </w:rPr>
        <w:t>七、政府性基金预算财政拨款收入支出决算</w:t>
      </w:r>
      <w:bookmarkEnd w:id="60"/>
      <w:bookmarkEnd w:id="61"/>
      <w:bookmarkEnd w:id="62"/>
      <w:bookmarkEnd w:id="63"/>
      <w:bookmarkEnd w:id="64"/>
      <w:bookmarkEnd w:id="65"/>
      <w:r>
        <w:rPr>
          <w:rFonts w:hint="eastAsia" w:ascii="黑体" w:hAnsi="黑体" w:eastAsia="黑体" w:cs="黑体"/>
          <w:color w:val="auto"/>
          <w:sz w:val="32"/>
          <w:szCs w:val="32"/>
        </w:rPr>
        <w:t>公开表</w:t>
      </w:r>
    </w:p>
    <w:p>
      <w:pPr>
        <w:spacing w:line="578" w:lineRule="exact"/>
        <w:ind w:left="1118" w:leftChars="304" w:hanging="480" w:hangingChars="150"/>
        <w:rPr>
          <w:rFonts w:hint="eastAsia" w:ascii="黑体" w:hAnsi="黑体" w:eastAsia="黑体" w:cs="黑体"/>
          <w:color w:val="auto"/>
          <w:sz w:val="32"/>
          <w:szCs w:val="32"/>
        </w:rPr>
      </w:pPr>
      <w:r>
        <w:rPr>
          <w:rFonts w:hint="eastAsia" w:ascii="黑体" w:hAnsi="黑体" w:eastAsia="黑体" w:cs="黑体"/>
          <w:color w:val="auto"/>
          <w:sz w:val="32"/>
          <w:szCs w:val="32"/>
        </w:rPr>
        <w:t>八、国有资本经营预算财政拨款收入支出决算公开表</w:t>
      </w:r>
    </w:p>
    <w:p>
      <w:pPr>
        <w:spacing w:line="578" w:lineRule="exact"/>
        <w:ind w:firstLine="640"/>
        <w:rPr>
          <w:rFonts w:hint="eastAsia" w:ascii="黑体" w:hAnsi="黑体" w:eastAsia="黑体" w:cs="黑体"/>
          <w:color w:val="auto"/>
          <w:sz w:val="32"/>
          <w:szCs w:val="32"/>
        </w:rPr>
      </w:pPr>
      <w:bookmarkStart w:id="66" w:name="_Toc1820_WPSOffice_Level2"/>
      <w:bookmarkStart w:id="67" w:name="_Toc9377_WPSOffice_Level2"/>
      <w:bookmarkStart w:id="68" w:name="_Toc29886_WPSOffice_Level2"/>
      <w:bookmarkStart w:id="69" w:name="_Toc19961_WPSOffice_Level2"/>
      <w:r>
        <w:rPr>
          <w:rFonts w:hint="eastAsia" w:ascii="黑体" w:hAnsi="黑体" w:eastAsia="黑体" w:cs="黑体"/>
          <w:color w:val="auto"/>
          <w:sz w:val="32"/>
          <w:szCs w:val="32"/>
        </w:rPr>
        <w:t>九、财政拨款“三公”经费支出决算</w:t>
      </w:r>
      <w:bookmarkEnd w:id="66"/>
      <w:bookmarkEnd w:id="67"/>
      <w:bookmarkEnd w:id="68"/>
      <w:bookmarkEnd w:id="69"/>
      <w:r>
        <w:rPr>
          <w:rFonts w:hint="eastAsia" w:ascii="黑体" w:hAnsi="黑体" w:eastAsia="黑体" w:cs="黑体"/>
          <w:color w:val="auto"/>
          <w:sz w:val="32"/>
          <w:szCs w:val="32"/>
        </w:rPr>
        <w:t>公开表</w:t>
      </w:r>
    </w:p>
    <w:p>
      <w:pPr>
        <w:spacing w:line="578" w:lineRule="exact"/>
        <w:ind w:firstLine="640"/>
        <w:rPr>
          <w:rFonts w:hint="eastAsia" w:ascii="仿宋" w:hAnsi="仿宋" w:eastAsia="仿宋" w:cs="仿宋"/>
          <w:color w:val="auto"/>
          <w:w w:val="100"/>
          <w:sz w:val="32"/>
          <w:szCs w:val="32"/>
        </w:rPr>
      </w:pPr>
      <w:r>
        <w:rPr>
          <w:rFonts w:hint="eastAsia" w:ascii="仿宋" w:hAnsi="仿宋" w:eastAsia="仿宋" w:cs="仿宋"/>
          <w:color w:val="auto"/>
          <w:w w:val="100"/>
          <w:sz w:val="32"/>
          <w:szCs w:val="32"/>
        </w:rPr>
        <w:t xml:space="preserve">以上报表见附件1。   </w:t>
      </w:r>
    </w:p>
    <w:p>
      <w:pPr>
        <w:spacing w:line="578" w:lineRule="exact"/>
        <w:rPr>
          <w:rFonts w:hint="eastAsia" w:ascii="黑体" w:hAnsi="黑体" w:eastAsia="黑体" w:cs="黑体"/>
          <w:color w:val="auto"/>
          <w:sz w:val="32"/>
          <w:szCs w:val="32"/>
        </w:rPr>
      </w:pPr>
    </w:p>
    <w:p>
      <w:pPr>
        <w:spacing w:line="578" w:lineRule="exact"/>
        <w:jc w:val="center"/>
        <w:outlineLvl w:val="0"/>
        <w:rPr>
          <w:rFonts w:hint="eastAsia" w:ascii="黑体" w:hAnsi="ˎ̥" w:eastAsia="黑体"/>
          <w:color w:val="auto"/>
          <w:sz w:val="32"/>
          <w:szCs w:val="32"/>
        </w:rPr>
      </w:pPr>
      <w:bookmarkStart w:id="70" w:name="_Toc28629_WPSOffice_Level1"/>
      <w:bookmarkStart w:id="71" w:name="_Toc16686_WPSOffice_Level1"/>
      <w:bookmarkStart w:id="72" w:name="_Toc31264_WPSOffice_Level1"/>
      <w:bookmarkStart w:id="73" w:name="_Toc4402_WPSOffice_Level1"/>
      <w:bookmarkStart w:id="74" w:name="_Toc946481124"/>
      <w:bookmarkStart w:id="75" w:name="_Toc29683_WPSOffice_Level1"/>
      <w:r>
        <w:rPr>
          <w:rFonts w:hint="eastAsia" w:ascii="黑体" w:hAnsi="ˎ̥" w:eastAsia="黑体"/>
          <w:color w:val="auto"/>
          <w:sz w:val="32"/>
          <w:szCs w:val="32"/>
        </w:rPr>
        <w:t xml:space="preserve">第三部分  </w:t>
      </w:r>
      <w:r>
        <w:rPr>
          <w:rFonts w:hint="default" w:ascii="黑体" w:hAnsi="ˎ̥" w:eastAsia="黑体"/>
          <w:color w:val="auto"/>
          <w:sz w:val="32"/>
          <w:szCs w:val="32"/>
          <w:lang w:val="en-US"/>
        </w:rPr>
        <w:t>2025</w:t>
      </w:r>
      <w:r>
        <w:rPr>
          <w:rFonts w:hint="eastAsia" w:ascii="黑体" w:hAnsi="ˎ̥" w:eastAsia="黑体"/>
          <w:color w:val="auto"/>
          <w:sz w:val="32"/>
          <w:szCs w:val="32"/>
        </w:rPr>
        <w:t>年度部门决算情况说明</w:t>
      </w:r>
      <w:bookmarkEnd w:id="70"/>
      <w:bookmarkEnd w:id="71"/>
      <w:bookmarkEnd w:id="72"/>
      <w:bookmarkEnd w:id="73"/>
      <w:bookmarkEnd w:id="74"/>
      <w:bookmarkEnd w:id="75"/>
    </w:p>
    <w:p>
      <w:pPr>
        <w:spacing w:line="578" w:lineRule="exact"/>
        <w:jc w:val="center"/>
        <w:rPr>
          <w:rFonts w:hint="eastAsia" w:ascii="黑体" w:hAnsi="ˎ̥" w:eastAsia="黑体"/>
          <w:color w:val="auto"/>
          <w:sz w:val="32"/>
          <w:szCs w:val="32"/>
        </w:rPr>
      </w:pPr>
    </w:p>
    <w:p>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76" w:name="_Toc338410106"/>
      <w:r>
        <w:rPr>
          <w:rFonts w:hint="eastAsia" w:ascii="黑体" w:hAnsi="黑体" w:eastAsia="黑体" w:cs="黑体"/>
          <w:bCs/>
          <w:color w:val="auto"/>
          <w:sz w:val="32"/>
          <w:szCs w:val="32"/>
        </w:rPr>
        <w:t>收入支出总体情况说明</w:t>
      </w:r>
      <w:bookmarkEnd w:id="76"/>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 w:val="0"/>
          <w:bCs/>
          <w:color w:val="auto"/>
          <w:sz w:val="32"/>
          <w:szCs w:val="32"/>
          <w:highlight w:val="none"/>
          <w:lang w:eastAsia="zh-CN"/>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年度收入总计</w:t>
      </w:r>
      <w:r>
        <w:rPr>
          <w:rFonts w:hint="eastAsia" w:ascii="仿宋" w:hAnsi="仿宋" w:eastAsia="仿宋" w:cs="仿宋"/>
          <w:color w:val="auto"/>
          <w:sz w:val="32"/>
          <w:szCs w:val="32"/>
          <w:lang w:val="en-US"/>
        </w:rPr>
        <w:t>217.74</w:t>
      </w:r>
      <w:r>
        <w:rPr>
          <w:rFonts w:hint="eastAsia" w:ascii="仿宋" w:hAnsi="仿宋" w:eastAsia="仿宋" w:cs="仿宋"/>
          <w:color w:val="auto"/>
          <w:sz w:val="32"/>
          <w:szCs w:val="32"/>
        </w:rPr>
        <w:t>万元，支出总计</w:t>
      </w:r>
      <w:r>
        <w:rPr>
          <w:rFonts w:hint="eastAsia" w:ascii="仿宋" w:hAnsi="仿宋" w:eastAsia="仿宋" w:cs="仿宋"/>
          <w:color w:val="auto"/>
          <w:sz w:val="32"/>
          <w:szCs w:val="32"/>
          <w:lang w:val="en-US"/>
        </w:rPr>
        <w:t>217.74</w:t>
      </w:r>
      <w:r>
        <w:rPr>
          <w:rFonts w:hint="eastAsia" w:ascii="仿宋" w:hAnsi="仿宋" w:eastAsia="仿宋" w:cs="仿宋"/>
          <w:color w:val="auto"/>
          <w:sz w:val="32"/>
          <w:szCs w:val="32"/>
        </w:rPr>
        <w:t>万元，</w:t>
      </w:r>
      <w:r>
        <w:rPr>
          <w:rFonts w:hint="eastAsia" w:ascii="宋体" w:hAnsi="宋体" w:eastAsia="宋体" w:cs="宋体"/>
          <w:b w:val="0"/>
          <w:bCs/>
          <w:color w:val="auto"/>
          <w:sz w:val="32"/>
          <w:szCs w:val="32"/>
          <w:highlight w:val="none"/>
          <w:lang w:eastAsia="zh-CN"/>
        </w:rPr>
        <w:t>本单位本年成立，</w:t>
      </w:r>
      <w:r>
        <w:rPr>
          <w:rFonts w:hint="eastAsia" w:ascii="宋体" w:hAnsi="宋体" w:cs="宋体"/>
          <w:b w:val="0"/>
          <w:bCs/>
          <w:color w:val="auto"/>
          <w:sz w:val="32"/>
          <w:szCs w:val="32"/>
          <w:highlight w:val="none"/>
          <w:lang w:eastAsia="zh-CN"/>
        </w:rPr>
        <w:t>未有年初预算，</w:t>
      </w:r>
      <w:r>
        <w:rPr>
          <w:rFonts w:hint="eastAsia" w:ascii="宋体" w:hAnsi="宋体" w:eastAsia="宋体" w:cs="宋体"/>
          <w:b w:val="0"/>
          <w:bCs/>
          <w:color w:val="auto"/>
          <w:sz w:val="32"/>
          <w:szCs w:val="32"/>
          <w:highlight w:val="none"/>
          <w:lang w:eastAsia="zh-CN"/>
        </w:rPr>
        <w:t>无法提供相关数据及分析。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color w:val="auto"/>
          <w:sz w:val="32"/>
          <w:szCs w:val="32"/>
        </w:rPr>
      </w:pPr>
      <w:r>
        <w:rPr>
          <w:rFonts w:hint="eastAsia" w:ascii="楷体" w:hAnsi="楷体" w:eastAsia="楷体" w:cs="楷体"/>
          <w:color w:val="auto"/>
          <w:sz w:val="32"/>
          <w:szCs w:val="32"/>
        </w:rPr>
        <w:t>（一</w:t>
      </w:r>
      <w:r>
        <w:rPr>
          <w:rFonts w:ascii="楷体" w:hAnsi="楷体" w:eastAsia="楷体" w:cs="楷体"/>
          <w:color w:val="auto"/>
          <w:sz w:val="32"/>
          <w:szCs w:val="32"/>
        </w:rPr>
        <w:t>）</w:t>
      </w:r>
      <w:r>
        <w:rPr>
          <w:rFonts w:hint="eastAsia" w:ascii="楷体" w:hAnsi="楷体" w:eastAsia="楷体" w:cs="楷体"/>
          <w:color w:val="auto"/>
          <w:sz w:val="32"/>
          <w:szCs w:val="32"/>
        </w:rPr>
        <w:t>收入</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217.74</w:t>
      </w:r>
      <w:r>
        <w:rPr>
          <w:rFonts w:hint="eastAsia" w:ascii="仿宋" w:hAnsi="仿宋" w:eastAsia="仿宋" w:cs="仿宋"/>
          <w:color w:val="auto"/>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rPr>
        <w:t>（二</w:t>
      </w:r>
      <w:r>
        <w:rPr>
          <w:rFonts w:ascii="楷体" w:hAnsi="楷体" w:eastAsia="楷体" w:cs="楷体"/>
          <w:color w:val="auto"/>
          <w:sz w:val="32"/>
          <w:szCs w:val="32"/>
        </w:rPr>
        <w:t>）</w:t>
      </w:r>
      <w:r>
        <w:rPr>
          <w:rFonts w:hint="eastAsia" w:ascii="楷体" w:hAnsi="楷体" w:eastAsia="楷体" w:cs="楷体"/>
          <w:color w:val="auto"/>
          <w:sz w:val="32"/>
          <w:szCs w:val="32"/>
        </w:rPr>
        <w:t>支出</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217.74</w:t>
      </w:r>
      <w:r>
        <w:rPr>
          <w:rFonts w:hint="eastAsia" w:ascii="仿宋" w:hAnsi="仿宋" w:eastAsia="仿宋" w:cs="仿宋"/>
          <w:color w:val="auto"/>
          <w:sz w:val="32"/>
          <w:szCs w:val="32"/>
        </w:rPr>
        <w:t>万元。</w:t>
      </w:r>
    </w:p>
    <w:p>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0" w:firstLineChars="200"/>
        <w:textAlignment w:val="auto"/>
        <w:outlineLvl w:val="1"/>
        <w:rPr>
          <w:rFonts w:hint="eastAsia" w:ascii="黑体" w:hAnsi="黑体" w:eastAsia="黑体" w:cs="黑体"/>
          <w:bCs/>
          <w:color w:val="auto"/>
          <w:sz w:val="32"/>
          <w:szCs w:val="32"/>
        </w:rPr>
      </w:pPr>
      <w:bookmarkStart w:id="77" w:name="_Toc1255297554"/>
      <w:r>
        <w:rPr>
          <w:rFonts w:hint="eastAsia" w:ascii="黑体" w:hAnsi="黑体" w:eastAsia="黑体" w:cs="黑体"/>
          <w:bCs/>
          <w:color w:val="auto"/>
          <w:sz w:val="32"/>
          <w:szCs w:val="32"/>
        </w:rPr>
        <w:t>收入决算情况说明</w:t>
      </w:r>
      <w:bookmarkEnd w:id="77"/>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217.74</w:t>
      </w:r>
      <w:r>
        <w:rPr>
          <w:rFonts w:hint="eastAsia" w:ascii="仿宋" w:hAnsi="仿宋" w:eastAsia="仿宋" w:cs="仿宋"/>
          <w:color w:val="auto"/>
          <w:sz w:val="32"/>
          <w:szCs w:val="32"/>
        </w:rPr>
        <w:t>万元，其中：财政拨款收入</w:t>
      </w:r>
      <w:r>
        <w:rPr>
          <w:rFonts w:hint="eastAsia" w:ascii="仿宋" w:hAnsi="仿宋" w:eastAsia="仿宋" w:cs="仿宋"/>
          <w:color w:val="auto"/>
          <w:sz w:val="32"/>
          <w:szCs w:val="32"/>
          <w:lang w:val="en-US"/>
        </w:rPr>
        <w:t>217.74</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78" w:name="_Toc416088516"/>
      <w:r>
        <w:rPr>
          <w:rFonts w:hint="eastAsia" w:ascii="黑体" w:hAnsi="黑体" w:eastAsia="黑体" w:cs="黑体"/>
          <w:bCs/>
          <w:color w:val="auto"/>
          <w:sz w:val="32"/>
          <w:szCs w:val="32"/>
        </w:rPr>
        <w:t>三、支出决算情况说明</w:t>
      </w:r>
      <w:bookmarkEnd w:id="78"/>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217.74</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rPr>
        <w:t>206.08</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94.64</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rPr>
        <w:t>11.66</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5.36</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79" w:name="_Toc461674788"/>
      <w:r>
        <w:rPr>
          <w:rFonts w:hint="eastAsia" w:ascii="黑体" w:hAnsi="黑体" w:eastAsia="黑体" w:cs="黑体"/>
          <w:bCs/>
          <w:color w:val="auto"/>
          <w:sz w:val="32"/>
          <w:szCs w:val="32"/>
        </w:rPr>
        <w:t>四、财政拨款收入支出决算总体情况说明</w:t>
      </w:r>
      <w:bookmarkEnd w:id="79"/>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年度财政拨款收入</w:t>
      </w:r>
      <w:r>
        <w:rPr>
          <w:rFonts w:hint="eastAsia" w:ascii="仿宋" w:hAnsi="仿宋" w:eastAsia="仿宋" w:cs="仿宋"/>
          <w:color w:val="auto"/>
          <w:sz w:val="32"/>
          <w:szCs w:val="32"/>
          <w:lang w:val="en-US"/>
        </w:rPr>
        <w:t>217.74</w:t>
      </w:r>
      <w:r>
        <w:rPr>
          <w:rFonts w:hint="eastAsia" w:ascii="仿宋" w:hAnsi="仿宋" w:eastAsia="仿宋" w:cs="仿宋"/>
          <w:color w:val="auto"/>
          <w:sz w:val="32"/>
          <w:szCs w:val="32"/>
        </w:rPr>
        <w:t>万元，支出</w:t>
      </w:r>
      <w:r>
        <w:rPr>
          <w:rFonts w:hint="eastAsia" w:ascii="仿宋" w:hAnsi="仿宋" w:eastAsia="仿宋" w:cs="仿宋"/>
          <w:color w:val="auto"/>
          <w:sz w:val="32"/>
          <w:szCs w:val="32"/>
          <w:lang w:val="en-US"/>
        </w:rPr>
        <w:t>217.74</w:t>
      </w:r>
      <w:r>
        <w:rPr>
          <w:rFonts w:hint="eastAsia" w:ascii="仿宋" w:hAnsi="仿宋" w:eastAsia="仿宋" w:cs="仿宋"/>
          <w:color w:val="auto"/>
          <w:sz w:val="32"/>
          <w:szCs w:val="32"/>
        </w:rPr>
        <w:t>万元。</w:t>
      </w:r>
      <w:r>
        <w:rPr>
          <w:rFonts w:hint="eastAsia" w:ascii="宋体" w:hAnsi="宋体" w:eastAsia="宋体" w:cs="宋体"/>
          <w:b w:val="0"/>
          <w:bCs/>
          <w:color w:val="auto"/>
          <w:sz w:val="32"/>
          <w:szCs w:val="32"/>
          <w:highlight w:val="none"/>
          <w:lang w:eastAsia="zh-CN"/>
        </w:rPr>
        <w:t>本单位本年成立，</w:t>
      </w:r>
      <w:r>
        <w:rPr>
          <w:rFonts w:hint="eastAsia" w:ascii="宋体" w:hAnsi="宋体" w:cs="宋体"/>
          <w:b w:val="0"/>
          <w:bCs/>
          <w:color w:val="auto"/>
          <w:sz w:val="32"/>
          <w:szCs w:val="32"/>
          <w:highlight w:val="none"/>
          <w:lang w:eastAsia="zh-CN"/>
        </w:rPr>
        <w:t>未有年初预算，</w:t>
      </w:r>
      <w:r>
        <w:rPr>
          <w:rFonts w:hint="eastAsia" w:ascii="宋体" w:hAnsi="宋体" w:eastAsia="宋体" w:cs="宋体"/>
          <w:b w:val="0"/>
          <w:bCs/>
          <w:color w:val="auto"/>
          <w:sz w:val="32"/>
          <w:szCs w:val="32"/>
          <w:highlight w:val="none"/>
          <w:lang w:eastAsia="zh-CN"/>
        </w:rPr>
        <w:t>无法提供相关数据及分析。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80" w:name="_Toc1967638949"/>
      <w:r>
        <w:rPr>
          <w:rFonts w:hint="eastAsia" w:ascii="黑体" w:hAnsi="黑体" w:eastAsia="黑体" w:cs="黑体"/>
          <w:bCs/>
          <w:color w:val="auto"/>
          <w:sz w:val="32"/>
          <w:szCs w:val="32"/>
        </w:rPr>
        <w:t>五、一般公共预算财政拨款支出决算情况说明</w:t>
      </w:r>
      <w:bookmarkEnd w:id="80"/>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1" w:name="_Toc23005_WPSOffice_Level2"/>
      <w:bookmarkStart w:id="82" w:name="_Toc19665_WPSOffice_Level2"/>
      <w:bookmarkStart w:id="83" w:name="_Toc9989_WPSOffice_Level2"/>
      <w:bookmarkStart w:id="84" w:name="_Toc13694_WPSOffice_Level2"/>
      <w:bookmarkStart w:id="85" w:name="_Toc17398_WPSOffice_Level2"/>
      <w:r>
        <w:rPr>
          <w:rFonts w:hint="eastAsia" w:ascii="楷体" w:hAnsi="楷体" w:eastAsia="楷体" w:cs="楷体"/>
          <w:color w:val="auto"/>
          <w:sz w:val="32"/>
          <w:szCs w:val="32"/>
        </w:rPr>
        <w:t>（一）一般公共预算财政拨款支出决算总体情况</w:t>
      </w:r>
      <w:bookmarkEnd w:id="81"/>
      <w:bookmarkEnd w:id="82"/>
      <w:bookmarkEnd w:id="83"/>
      <w:bookmarkEnd w:id="84"/>
      <w:bookmarkEnd w:id="85"/>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w:t>
      </w:r>
      <w:r>
        <w:rPr>
          <w:rFonts w:hint="eastAsia" w:ascii="仿宋" w:hAnsi="仿宋" w:eastAsia="仿宋" w:cs="仿宋"/>
          <w:color w:val="auto"/>
          <w:sz w:val="32"/>
          <w:szCs w:val="32"/>
          <w:lang w:val="en-US"/>
        </w:rPr>
        <w:t>217.74</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宋体" w:hAnsi="宋体" w:eastAsia="宋体" w:cs="宋体"/>
          <w:b w:val="0"/>
          <w:bCs/>
          <w:color w:val="auto"/>
          <w:sz w:val="32"/>
          <w:szCs w:val="32"/>
          <w:highlight w:val="none"/>
          <w:lang w:eastAsia="zh-CN"/>
        </w:rPr>
        <w:t>本单位本年成立，</w:t>
      </w:r>
      <w:r>
        <w:rPr>
          <w:rFonts w:hint="eastAsia" w:ascii="宋体" w:hAnsi="宋体" w:cs="宋体"/>
          <w:b w:val="0"/>
          <w:bCs/>
          <w:color w:val="auto"/>
          <w:sz w:val="32"/>
          <w:szCs w:val="32"/>
          <w:highlight w:val="none"/>
          <w:lang w:eastAsia="zh-CN"/>
        </w:rPr>
        <w:t>未有年初预算，</w:t>
      </w:r>
      <w:r>
        <w:rPr>
          <w:rFonts w:hint="eastAsia" w:ascii="宋体" w:hAnsi="宋体" w:eastAsia="宋体" w:cs="宋体"/>
          <w:b w:val="0"/>
          <w:bCs/>
          <w:color w:val="auto"/>
          <w:sz w:val="32"/>
          <w:szCs w:val="32"/>
          <w:highlight w:val="none"/>
          <w:lang w:eastAsia="zh-CN"/>
        </w:rPr>
        <w:t>无法提供相关数据及分析。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6" w:name="_Toc19075_WPSOffice_Level2"/>
      <w:bookmarkStart w:id="87" w:name="_Toc18793_WPSOffice_Level2"/>
      <w:bookmarkStart w:id="88" w:name="_Toc23864_WPSOffice_Level2"/>
      <w:bookmarkStart w:id="89" w:name="_Toc27767_WPSOffice_Level2"/>
      <w:bookmarkStart w:id="90" w:name="_Toc2711_WPSOffice_Level2"/>
      <w:r>
        <w:rPr>
          <w:rFonts w:hint="eastAsia" w:ascii="楷体" w:hAnsi="楷体" w:eastAsia="楷体" w:cs="楷体"/>
          <w:color w:val="auto"/>
          <w:sz w:val="32"/>
          <w:szCs w:val="32"/>
        </w:rPr>
        <w:t>（二）一般公共预算财政拨款支出决算结构情况</w:t>
      </w:r>
      <w:bookmarkEnd w:id="86"/>
      <w:bookmarkEnd w:id="87"/>
      <w:bookmarkEnd w:id="88"/>
      <w:bookmarkEnd w:id="89"/>
      <w:bookmarkEnd w:id="90"/>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w:t>
      </w:r>
      <w:r>
        <w:rPr>
          <w:rFonts w:hint="eastAsia" w:ascii="仿宋" w:hAnsi="仿宋" w:eastAsia="仿宋" w:cs="仿宋"/>
          <w:color w:val="auto"/>
          <w:sz w:val="32"/>
          <w:szCs w:val="32"/>
          <w:lang w:val="en-US" w:eastAsia="zh-CN"/>
        </w:rPr>
        <w:t>217.74</w:t>
      </w:r>
      <w:r>
        <w:rPr>
          <w:rFonts w:hint="eastAsia" w:ascii="仿宋" w:hAnsi="仿宋" w:eastAsia="仿宋" w:cs="仿宋"/>
          <w:color w:val="auto"/>
          <w:sz w:val="32"/>
          <w:szCs w:val="32"/>
        </w:rPr>
        <w:t>万元，主要用于以下方面：</w:t>
      </w:r>
      <w:r>
        <w:rPr>
          <w:rFonts w:hint="eastAsia" w:ascii="仿宋" w:hAnsi="仿宋" w:eastAsia="仿宋" w:cs="仿宋"/>
          <w:b/>
          <w:color w:val="auto"/>
          <w:sz w:val="32"/>
          <w:szCs w:val="32"/>
        </w:rPr>
        <w:t>一般公共服务（类）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163.40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75.04</w:t>
      </w:r>
      <w:r>
        <w:rPr>
          <w:rFonts w:hint="eastAsia" w:ascii="仿宋" w:hAnsi="仿宋" w:eastAsia="仿宋" w:cs="仿宋"/>
          <w:color w:val="auto"/>
          <w:sz w:val="32"/>
          <w:szCs w:val="32"/>
        </w:rPr>
        <w:t>%；</w:t>
      </w:r>
      <w:r>
        <w:rPr>
          <w:rFonts w:hint="eastAsia" w:ascii="仿宋" w:hAnsi="仿宋" w:eastAsia="仿宋" w:cs="仿宋"/>
          <w:b/>
          <w:color w:val="auto"/>
          <w:sz w:val="32"/>
          <w:szCs w:val="32"/>
        </w:rPr>
        <w:t>社会保障和就业（类）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33.46</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15.37</w:t>
      </w:r>
      <w:r>
        <w:rPr>
          <w:rFonts w:hint="eastAsia" w:ascii="仿宋" w:hAnsi="仿宋" w:eastAsia="仿宋" w:cs="仿宋"/>
          <w:color w:val="auto"/>
          <w:sz w:val="32"/>
          <w:szCs w:val="32"/>
        </w:rPr>
        <w:t>%；</w:t>
      </w:r>
      <w:r>
        <w:rPr>
          <w:rFonts w:hint="eastAsia" w:ascii="仿宋" w:hAnsi="仿宋" w:eastAsia="仿宋" w:cs="仿宋"/>
          <w:b/>
          <w:bCs/>
          <w:color w:val="auto"/>
          <w:sz w:val="32"/>
          <w:szCs w:val="32"/>
          <w:lang w:eastAsia="zh-CN"/>
        </w:rPr>
        <w:t>卫生健康（类）</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lang w:val="en-US" w:eastAsia="zh-CN"/>
        </w:rPr>
        <w:t>6.13万元,占2.82%；</w:t>
      </w:r>
      <w:r>
        <w:rPr>
          <w:rFonts w:hint="eastAsia" w:ascii="仿宋" w:hAnsi="仿宋" w:eastAsia="仿宋" w:cs="仿宋"/>
          <w:b/>
          <w:bCs/>
          <w:color w:val="auto"/>
          <w:sz w:val="32"/>
          <w:szCs w:val="32"/>
        </w:rPr>
        <w:t>住房保障（类）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14.74</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6.77</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91" w:name="_Toc21701_WPSOffice_Level2"/>
      <w:bookmarkStart w:id="92" w:name="_Toc25136_WPSOffice_Level2"/>
      <w:bookmarkStart w:id="93" w:name="_Toc22318_WPSOffice_Level2"/>
      <w:bookmarkStart w:id="94" w:name="_Toc9502_WPSOffice_Level2"/>
      <w:bookmarkStart w:id="95" w:name="_Toc15415_WPSOffice_Level2"/>
      <w:bookmarkStart w:id="96" w:name="_Toc29364_WPSOffice_Level2"/>
      <w:r>
        <w:rPr>
          <w:rFonts w:hint="eastAsia" w:ascii="楷体" w:hAnsi="楷体" w:eastAsia="楷体" w:cs="楷体"/>
          <w:color w:val="auto"/>
          <w:sz w:val="32"/>
          <w:szCs w:val="32"/>
        </w:rPr>
        <w:t>（三）一般公共预算财政拨款支出决算具体情况</w:t>
      </w:r>
      <w:bookmarkEnd w:id="91"/>
      <w:bookmarkEnd w:id="92"/>
      <w:bookmarkEnd w:id="93"/>
      <w:bookmarkEnd w:id="94"/>
      <w:bookmarkEnd w:id="95"/>
      <w:bookmarkEnd w:id="96"/>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 w:val="0"/>
          <w:bCs/>
          <w:color w:val="auto"/>
          <w:sz w:val="32"/>
          <w:szCs w:val="32"/>
          <w:highlight w:val="none"/>
          <w:lang w:eastAsia="zh-CN"/>
        </w:rPr>
      </w:pPr>
      <w:r>
        <w:rPr>
          <w:rFonts w:hint="eastAsia" w:ascii="宋体" w:hAnsi="宋体" w:eastAsia="宋体" w:cs="宋体"/>
          <w:b w:val="0"/>
          <w:bCs/>
          <w:color w:val="auto"/>
          <w:sz w:val="32"/>
          <w:szCs w:val="32"/>
          <w:highlight w:val="none"/>
          <w:lang w:eastAsia="zh-CN"/>
        </w:rPr>
        <w:t>本单位本年成立，</w:t>
      </w:r>
      <w:r>
        <w:rPr>
          <w:rFonts w:hint="eastAsia" w:ascii="宋体" w:hAnsi="宋体" w:cs="宋体"/>
          <w:b w:val="0"/>
          <w:bCs/>
          <w:color w:val="auto"/>
          <w:sz w:val="32"/>
          <w:szCs w:val="32"/>
          <w:highlight w:val="none"/>
          <w:lang w:eastAsia="zh-CN"/>
        </w:rPr>
        <w:t>未有年初预算，</w:t>
      </w:r>
      <w:r>
        <w:rPr>
          <w:rFonts w:hint="eastAsia" w:ascii="宋体" w:hAnsi="宋体" w:eastAsia="宋体" w:cs="宋体"/>
          <w:b w:val="0"/>
          <w:bCs/>
          <w:color w:val="auto"/>
          <w:sz w:val="32"/>
          <w:szCs w:val="32"/>
          <w:highlight w:val="none"/>
          <w:lang w:eastAsia="zh-CN"/>
        </w:rPr>
        <w:t>无法提供相关数据及分析。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color w:val="auto"/>
          <w:sz w:val="32"/>
          <w:szCs w:val="32"/>
        </w:rPr>
      </w:pPr>
      <w:bookmarkStart w:id="97" w:name="_Toc1863054203"/>
      <w:r>
        <w:rPr>
          <w:rFonts w:hint="eastAsia" w:ascii="黑体" w:hAnsi="黑体" w:eastAsia="黑体" w:cs="黑体"/>
          <w:bCs/>
          <w:color w:val="auto"/>
          <w:sz w:val="32"/>
          <w:szCs w:val="32"/>
        </w:rPr>
        <w:t>六、一般公共预算财政拨款基本支出决算情况说明</w:t>
      </w:r>
      <w:bookmarkEnd w:id="97"/>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年度财政拨款基本支出</w:t>
      </w:r>
      <w:r>
        <w:rPr>
          <w:rFonts w:hint="eastAsia" w:ascii="仿宋" w:hAnsi="仿宋" w:eastAsia="仿宋" w:cs="仿宋"/>
          <w:color w:val="auto"/>
          <w:sz w:val="32"/>
          <w:szCs w:val="32"/>
          <w:lang w:val="en-US"/>
        </w:rPr>
        <w:t>206.08</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rPr>
        <w:t>187.17</w:t>
      </w:r>
      <w:r>
        <w:rPr>
          <w:rFonts w:hint="eastAsia" w:ascii="仿宋" w:hAnsi="仿宋" w:eastAsia="仿宋" w:cs="仿宋"/>
          <w:color w:val="auto"/>
          <w:sz w:val="32"/>
          <w:szCs w:val="32"/>
        </w:rPr>
        <w:t>万元，主要包括：工资福利支出中的基本工资、津贴补贴、绩效工资、机关事业单位基本养老保险缴费、职业年金缴费、职工基本医疗保险缴费、公务员医疗补助缴费、其他社会保障缴费、住房公积金、医疗费、其他工资福利支出；对个人和家庭的补助中的生活补助、奖励金、其他对个人和家庭的补助。公用经费</w:t>
      </w:r>
      <w:r>
        <w:rPr>
          <w:rFonts w:hint="eastAsia" w:ascii="仿宋" w:hAnsi="仿宋" w:eastAsia="仿宋" w:cs="仿宋"/>
          <w:color w:val="auto"/>
          <w:sz w:val="32"/>
          <w:szCs w:val="32"/>
          <w:lang w:val="en-US"/>
        </w:rPr>
        <w:t>18.91</w:t>
      </w:r>
      <w:r>
        <w:rPr>
          <w:rFonts w:hint="eastAsia" w:ascii="仿宋" w:hAnsi="仿宋" w:eastAsia="仿宋" w:cs="仿宋"/>
          <w:color w:val="auto"/>
          <w:sz w:val="32"/>
          <w:szCs w:val="32"/>
        </w:rPr>
        <w:t>万元，主要包括：</w:t>
      </w:r>
      <w:r>
        <w:rPr>
          <w:rFonts w:hint="eastAsia" w:ascii="仿宋" w:hAnsi="仿宋" w:eastAsia="仿宋" w:cs="仿宋"/>
          <w:color w:val="auto"/>
          <w:sz w:val="32"/>
          <w:szCs w:val="32"/>
          <w:highlight w:val="none"/>
        </w:rPr>
        <w:t>商品和服务支出中的办公费、手续费、邮电费、差旅费、维修（护）费、租赁费、培训费、劳务费、其他交通费用、其他商品和服务支出。</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98" w:name="_Toc1700287114"/>
      <w:r>
        <w:rPr>
          <w:rFonts w:hint="eastAsia" w:ascii="黑体" w:hAnsi="黑体" w:eastAsia="黑体" w:cs="黑体"/>
          <w:bCs/>
          <w:color w:val="auto"/>
          <w:sz w:val="32"/>
          <w:szCs w:val="32"/>
        </w:rPr>
        <w:t>七、政府性基金预算财政拨款支出决算情况说明</w:t>
      </w:r>
      <w:bookmarkEnd w:id="98"/>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（一）政府性基金预算财政拨款支出决算总体情况</w:t>
      </w:r>
    </w:p>
    <w:p>
      <w:pPr>
        <w:numPr>
          <w:ilvl w:val="0"/>
          <w:numId w:val="0"/>
        </w:numPr>
        <w:tabs>
          <w:tab w:val="center" w:pos="4473"/>
        </w:tabs>
        <w:spacing w:line="360" w:lineRule="auto"/>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val="en-US" w:eastAsia="zh-CN"/>
        </w:rPr>
        <w:t>无此项内容</w:t>
      </w:r>
      <w:r>
        <w:rPr>
          <w:rFonts w:hint="eastAsia" w:ascii="宋体" w:hAnsi="宋体" w:eastAsia="宋体" w:cs="宋体"/>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（二）政府性基金预算财政拨款支出决算结构情况</w:t>
      </w:r>
    </w:p>
    <w:p>
      <w:pPr>
        <w:numPr>
          <w:ilvl w:val="0"/>
          <w:numId w:val="0"/>
        </w:numPr>
        <w:tabs>
          <w:tab w:val="center" w:pos="4473"/>
        </w:tabs>
        <w:spacing w:line="360" w:lineRule="auto"/>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val="en-US" w:eastAsia="zh-CN"/>
        </w:rPr>
        <w:t>无此项内容</w:t>
      </w:r>
      <w:r>
        <w:rPr>
          <w:rFonts w:hint="eastAsia" w:ascii="宋体" w:hAnsi="宋体" w:eastAsia="宋体" w:cs="宋体"/>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（三）政府性基金预算财政拨款支出决算具体情况</w:t>
      </w:r>
    </w:p>
    <w:p>
      <w:pPr>
        <w:numPr>
          <w:ilvl w:val="0"/>
          <w:numId w:val="0"/>
        </w:numPr>
        <w:tabs>
          <w:tab w:val="center" w:pos="4473"/>
        </w:tabs>
        <w:spacing w:line="360" w:lineRule="auto"/>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val="en-US" w:eastAsia="zh-CN"/>
        </w:rPr>
        <w:t>无此项内容</w:t>
      </w:r>
      <w:r>
        <w:rPr>
          <w:rFonts w:hint="eastAsia" w:ascii="宋体" w:hAnsi="宋体" w:eastAsia="宋体" w:cs="宋体"/>
          <w:color w:val="auto"/>
          <w:sz w:val="32"/>
          <w:szCs w:val="32"/>
          <w:lang w:val="en-US" w:eastAsia="zh-CN"/>
        </w:rPr>
        <w:t>。</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99" w:name="_Toc1681412981"/>
      <w:r>
        <w:rPr>
          <w:rFonts w:hint="eastAsia" w:ascii="黑体" w:hAnsi="黑体" w:eastAsia="黑体" w:cs="黑体"/>
          <w:bCs/>
          <w:color w:val="auto"/>
          <w:sz w:val="32"/>
          <w:szCs w:val="32"/>
        </w:rPr>
        <w:t>八、国有资本经营预算财政拨款支出决算情况说明</w:t>
      </w:r>
      <w:bookmarkEnd w:id="99"/>
    </w:p>
    <w:p>
      <w:pPr>
        <w:numPr>
          <w:ilvl w:val="0"/>
          <w:numId w:val="0"/>
        </w:numPr>
        <w:tabs>
          <w:tab w:val="center" w:pos="4473"/>
        </w:tabs>
        <w:spacing w:line="360" w:lineRule="auto"/>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val="en-US" w:eastAsia="zh-CN"/>
        </w:rPr>
        <w:t>无此项内容</w:t>
      </w:r>
      <w:r>
        <w:rPr>
          <w:rFonts w:hint="eastAsia" w:ascii="宋体" w:hAnsi="宋体" w:eastAsia="宋体" w:cs="宋体"/>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仿宋_GB2312" w:hAnsi="ˎ̥" w:eastAsia="楷体_GB2312"/>
          <w:color w:val="auto"/>
          <w:sz w:val="32"/>
          <w:szCs w:val="32"/>
        </w:rPr>
      </w:pPr>
      <w:bookmarkStart w:id="100" w:name="_Toc1846333141"/>
      <w:r>
        <w:rPr>
          <w:rFonts w:hint="eastAsia" w:ascii="黑体" w:hAnsi="黑体" w:eastAsia="黑体" w:cs="黑体"/>
          <w:bCs/>
          <w:color w:val="auto"/>
          <w:sz w:val="32"/>
          <w:szCs w:val="32"/>
        </w:rPr>
        <w:t>九、财政拨款“三公”经费支出决算情况说明</w:t>
      </w:r>
      <w:bookmarkEnd w:id="100"/>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（一）财政拨款“三公”经费支出决算总体情况说明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 w:val="0"/>
          <w:bCs/>
          <w:color w:val="auto"/>
          <w:sz w:val="32"/>
          <w:szCs w:val="32"/>
          <w:highlight w:val="none"/>
          <w:lang w:eastAsia="zh-CN"/>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年度财政拨款“三公”经费支出预算为</w:t>
      </w:r>
      <w:r>
        <w:rPr>
          <w:rFonts w:hint="eastAsia" w:ascii="仿宋" w:hAnsi="仿宋" w:eastAsia="仿宋" w:cs="仿宋"/>
          <w:color w:val="auto"/>
          <w:sz w:val="32"/>
          <w:szCs w:val="32"/>
          <w:lang w:val="en-US"/>
        </w:rPr>
        <w:t>0.30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0.00</w:t>
      </w:r>
      <w:r>
        <w:rPr>
          <w:rFonts w:hint="eastAsia" w:ascii="仿宋" w:hAnsi="仿宋" w:eastAsia="仿宋" w:cs="仿宋"/>
          <w:color w:val="auto"/>
          <w:sz w:val="32"/>
          <w:szCs w:val="32"/>
        </w:rPr>
        <w:t>%，</w:t>
      </w:r>
      <w:r>
        <w:rPr>
          <w:rFonts w:hint="eastAsia" w:ascii="宋体" w:hAnsi="宋体" w:eastAsia="宋体" w:cs="宋体"/>
          <w:b w:val="0"/>
          <w:bCs/>
          <w:color w:val="auto"/>
          <w:sz w:val="32"/>
          <w:szCs w:val="32"/>
          <w:highlight w:val="none"/>
          <w:lang w:eastAsia="zh-CN"/>
        </w:rPr>
        <w:t>本单位本年成立，</w:t>
      </w:r>
      <w:r>
        <w:rPr>
          <w:rFonts w:hint="eastAsia" w:ascii="宋体" w:hAnsi="宋体" w:cs="宋体"/>
          <w:b w:val="0"/>
          <w:bCs/>
          <w:color w:val="auto"/>
          <w:sz w:val="32"/>
          <w:szCs w:val="32"/>
          <w:highlight w:val="none"/>
          <w:lang w:eastAsia="zh-CN"/>
        </w:rPr>
        <w:t>未有年初预算，</w:t>
      </w:r>
      <w:r>
        <w:rPr>
          <w:rFonts w:hint="eastAsia" w:ascii="宋体" w:hAnsi="宋体" w:eastAsia="宋体" w:cs="宋体"/>
          <w:b w:val="0"/>
          <w:bCs/>
          <w:color w:val="auto"/>
          <w:sz w:val="32"/>
          <w:szCs w:val="32"/>
          <w:highlight w:val="none"/>
          <w:lang w:eastAsia="zh-CN"/>
        </w:rPr>
        <w:t>无法提供相关数据及分析。</w:t>
      </w:r>
    </w:p>
    <w:p>
      <w:pPr>
        <w:spacing w:line="578" w:lineRule="exact"/>
        <w:ind w:firstLine="640" w:firstLineChars="200"/>
        <w:rPr>
          <w:rFonts w:hint="eastAsia" w:ascii="楷体" w:hAnsi="楷体" w:eastAsia="楷体" w:cs="楷体"/>
          <w:color w:val="auto"/>
          <w:sz w:val="32"/>
          <w:szCs w:val="32"/>
          <w:highlight w:val="none"/>
        </w:rPr>
      </w:pPr>
      <w:r>
        <w:rPr>
          <w:rFonts w:hint="eastAsia" w:ascii="楷体" w:hAnsi="楷体" w:eastAsia="楷体" w:cs="楷体"/>
          <w:color w:val="auto"/>
          <w:sz w:val="32"/>
          <w:szCs w:val="32"/>
          <w:highlight w:val="none"/>
        </w:rPr>
        <w:t>（二）财政拨款“三公”经费支出决算具体情况说明</w:t>
      </w:r>
    </w:p>
    <w:p>
      <w:pPr>
        <w:numPr>
          <w:ilvl w:val="0"/>
          <w:numId w:val="0"/>
        </w:numPr>
        <w:tabs>
          <w:tab w:val="center" w:pos="4473"/>
        </w:tabs>
        <w:spacing w:line="360" w:lineRule="auto"/>
        <w:ind w:firstLine="640" w:firstLineChars="200"/>
        <w:rPr>
          <w:rFonts w:hint="eastAsia" w:ascii="宋体" w:hAnsi="宋体" w:eastAsia="宋体" w:cs="宋体"/>
          <w:b w:val="0"/>
          <w:bCs/>
          <w:color w:val="auto"/>
          <w:sz w:val="32"/>
          <w:szCs w:val="32"/>
          <w:highlight w:val="none"/>
          <w:lang w:eastAsia="zh-CN"/>
        </w:rPr>
      </w:pPr>
      <w:r>
        <w:rPr>
          <w:rFonts w:hint="eastAsia" w:ascii="宋体" w:hAnsi="宋体" w:cs="宋体"/>
          <w:color w:val="auto"/>
          <w:sz w:val="32"/>
          <w:szCs w:val="32"/>
          <w:lang w:val="en-US" w:eastAsia="zh-CN"/>
        </w:rPr>
        <w:t>无此项内容</w:t>
      </w:r>
      <w:r>
        <w:rPr>
          <w:rFonts w:hint="eastAsia" w:ascii="宋体" w:hAnsi="宋体" w:eastAsia="宋体" w:cs="宋体"/>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101" w:name="_Toc728353046"/>
      <w:r>
        <w:rPr>
          <w:rFonts w:hint="eastAsia" w:ascii="黑体" w:hAnsi="黑体" w:eastAsia="黑体" w:cs="黑体"/>
          <w:bCs/>
          <w:color w:val="auto"/>
          <w:sz w:val="32"/>
          <w:szCs w:val="32"/>
        </w:rPr>
        <w:t>十、预算绩效情况说明</w:t>
      </w:r>
      <w:bookmarkEnd w:id="101"/>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（一）绩效管理工作开展情况</w:t>
      </w:r>
    </w:p>
    <w:p>
      <w:pPr>
        <w:keepNext w:val="0"/>
        <w:keepLines w:val="0"/>
        <w:widowControl w:val="0"/>
        <w:suppressLineNumbers w:val="0"/>
        <w:spacing w:before="0" w:beforeAutospacing="0" w:after="0" w:afterAutospacing="0" w:line="578" w:lineRule="exact"/>
        <w:ind w:left="0" w:right="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根据预算管理要求，我单位组织对</w:t>
      </w: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年度一般公共预算项目支出全面开展绩效自评</w:t>
      </w:r>
      <w:r>
        <w:rPr>
          <w:rFonts w:hint="eastAsia" w:ascii="仿宋" w:hAnsi="仿宋" w:eastAsia="仿宋" w:cs="仿宋"/>
          <w:color w:val="auto"/>
          <w:sz w:val="32"/>
          <w:szCs w:val="32"/>
          <w:lang w:val="en-US"/>
        </w:rPr>
        <w:t>,</w:t>
      </w:r>
      <w:r>
        <w:rPr>
          <w:rFonts w:hint="eastAsia" w:ascii="仿宋" w:hAnsi="仿宋" w:eastAsia="仿宋" w:cs="仿宋"/>
          <w:color w:val="auto"/>
          <w:sz w:val="32"/>
          <w:szCs w:val="32"/>
          <w:lang w:val="en-US" w:eastAsia="zh-CN"/>
        </w:rPr>
        <w:t>共涉及资金11.66万元，占一般公共预算项目支出总额的100%</w:t>
      </w:r>
      <w:r>
        <w:rPr>
          <w:rFonts w:hint="eastAsia" w:ascii="仿宋" w:hAnsi="仿宋" w:eastAsia="仿宋" w:cs="仿宋"/>
          <w:color w:val="auto"/>
          <w:sz w:val="32"/>
          <w:szCs w:val="32"/>
        </w:rPr>
        <w:t>。</w:t>
      </w:r>
    </w:p>
    <w:p>
      <w:pPr>
        <w:keepNext w:val="0"/>
        <w:keepLines w:val="0"/>
        <w:widowControl w:val="0"/>
        <w:suppressLineNumbers w:val="0"/>
        <w:spacing w:before="0" w:beforeAutospacing="0" w:after="0" w:afterAutospacing="0" w:line="578" w:lineRule="exact"/>
        <w:ind w:left="0" w:right="0" w:firstLine="640" w:firstLineChars="200"/>
        <w:jc w:val="left"/>
        <w:rPr>
          <w:rFonts w:hint="default" w:ascii="楷体" w:hAnsi="楷体" w:eastAsia="楷体" w:cs="楷体"/>
          <w:bCs/>
          <w:color w:val="auto"/>
          <w:kern w:val="2"/>
          <w:sz w:val="32"/>
          <w:szCs w:val="32"/>
        </w:rPr>
      </w:pPr>
      <w:r>
        <w:rPr>
          <w:rFonts w:hint="default" w:ascii="楷体" w:hAnsi="楷体" w:eastAsia="楷体" w:cs="楷体"/>
          <w:bCs/>
          <w:color w:val="auto"/>
          <w:kern w:val="2"/>
          <w:sz w:val="32"/>
          <w:szCs w:val="32"/>
          <w:lang w:val="en-US" w:eastAsia="zh-CN" w:bidi="ar"/>
        </w:rPr>
        <w:t>（二）部门决算中项目绩效自评结果（预算部门、单位可根据实际情况反映重点项目绩效自评结果）</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宋体" w:hAnsi="宋体" w:eastAsia="宋体" w:cs="宋体"/>
          <w:bCs/>
          <w:color w:val="auto"/>
          <w:kern w:val="2"/>
          <w:sz w:val="32"/>
          <w:szCs w:val="32"/>
          <w:lang w:val="en-US" w:eastAsia="zh-CN" w:bidi="ar"/>
        </w:rPr>
      </w:pPr>
      <w:r>
        <w:rPr>
          <w:rFonts w:hint="eastAsia" w:ascii="宋体" w:hAnsi="宋体" w:eastAsia="宋体" w:cs="宋体"/>
          <w:bCs/>
          <w:color w:val="auto"/>
          <w:kern w:val="2"/>
          <w:sz w:val="32"/>
          <w:szCs w:val="32"/>
          <w:lang w:val="en-US" w:eastAsia="zh-CN" w:bidi="ar"/>
        </w:rPr>
        <w:t>无此项内容。</w:t>
      </w:r>
    </w:p>
    <w:p>
      <w:pPr>
        <w:keepNext w:val="0"/>
        <w:keepLines w:val="0"/>
        <w:widowControl w:val="0"/>
        <w:suppressLineNumbers w:val="0"/>
        <w:spacing w:before="0" w:beforeAutospacing="0" w:after="0" w:afterAutospacing="0" w:line="578" w:lineRule="exact"/>
        <w:ind w:left="0" w:right="0" w:firstLine="640" w:firstLineChars="200"/>
        <w:jc w:val="both"/>
        <w:rPr>
          <w:rFonts w:hint="default" w:ascii="楷体" w:hAnsi="楷体" w:eastAsia="楷体" w:cs="楷体"/>
          <w:bCs/>
          <w:color w:val="auto"/>
          <w:kern w:val="2"/>
          <w:sz w:val="32"/>
          <w:szCs w:val="32"/>
        </w:rPr>
      </w:pPr>
      <w:r>
        <w:rPr>
          <w:rFonts w:hint="default" w:ascii="楷体" w:hAnsi="楷体" w:eastAsia="楷体" w:cs="楷体"/>
          <w:bCs/>
          <w:color w:val="auto"/>
          <w:kern w:val="2"/>
          <w:sz w:val="32"/>
          <w:szCs w:val="32"/>
          <w:lang w:val="en-US" w:eastAsia="zh-CN" w:bidi="ar"/>
        </w:rPr>
        <w:t>（三）部门评价结果（预算部门填写，部门所属单位不需填写）</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宋体" w:hAnsi="宋体" w:eastAsia="宋体" w:cs="宋体"/>
          <w:bCs/>
          <w:color w:val="auto"/>
          <w:kern w:val="2"/>
          <w:sz w:val="32"/>
          <w:szCs w:val="32"/>
          <w:lang w:val="en-US" w:eastAsia="zh-CN" w:bidi="ar"/>
        </w:rPr>
      </w:pPr>
      <w:r>
        <w:rPr>
          <w:rFonts w:hint="eastAsia" w:ascii="宋体" w:hAnsi="宋体" w:eastAsia="宋体" w:cs="宋体"/>
          <w:bCs/>
          <w:color w:val="auto"/>
          <w:kern w:val="2"/>
          <w:sz w:val="32"/>
          <w:szCs w:val="32"/>
          <w:lang w:val="en-US" w:eastAsia="zh-CN" w:bidi="ar"/>
        </w:rPr>
        <w:t>无此项内容。</w:t>
      </w:r>
    </w:p>
    <w:p>
      <w:pPr>
        <w:keepNext w:val="0"/>
        <w:keepLines w:val="0"/>
        <w:widowControl w:val="0"/>
        <w:suppressLineNumbers w:val="0"/>
        <w:spacing w:before="0" w:beforeAutospacing="0" w:after="0" w:afterAutospacing="0" w:line="578" w:lineRule="exact"/>
        <w:ind w:left="0" w:right="0" w:firstLine="640" w:firstLineChars="200"/>
        <w:jc w:val="both"/>
        <w:rPr>
          <w:rFonts w:hint="default" w:ascii="楷体" w:hAnsi="楷体" w:eastAsia="楷体" w:cs="楷体"/>
          <w:bCs/>
          <w:color w:val="auto"/>
          <w:kern w:val="2"/>
          <w:sz w:val="32"/>
          <w:szCs w:val="32"/>
        </w:rPr>
      </w:pPr>
      <w:r>
        <w:rPr>
          <w:rFonts w:hint="default" w:ascii="楷体" w:hAnsi="楷体" w:eastAsia="楷体" w:cs="楷体"/>
          <w:bCs/>
          <w:color w:val="auto"/>
          <w:kern w:val="2"/>
          <w:sz w:val="32"/>
          <w:szCs w:val="32"/>
          <w:lang w:val="en-US" w:eastAsia="zh-CN" w:bidi="ar"/>
        </w:rPr>
        <w:t>（四）财政评价结果（如有）</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 w:hAnsi="仿宋" w:eastAsia="仿宋" w:cs="仿宋"/>
          <w:color w:val="auto"/>
          <w:sz w:val="32"/>
          <w:szCs w:val="32"/>
        </w:rPr>
      </w:pPr>
      <w:r>
        <w:rPr>
          <w:rFonts w:hint="eastAsia" w:ascii="宋体" w:hAnsi="宋体" w:eastAsia="宋体" w:cs="宋体"/>
          <w:bCs/>
          <w:color w:val="auto"/>
          <w:kern w:val="2"/>
          <w:sz w:val="32"/>
          <w:szCs w:val="32"/>
          <w:lang w:val="en-US" w:eastAsia="zh-CN" w:bidi="ar"/>
        </w:rPr>
        <w:t>无此项内容。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lang w:val="zh-CN"/>
        </w:rPr>
      </w:pPr>
      <w:bookmarkStart w:id="102" w:name="_Toc1001538106"/>
      <w:r>
        <w:rPr>
          <w:rFonts w:hint="eastAsia" w:ascii="黑体" w:hAnsi="黑体" w:eastAsia="黑体" w:cs="黑体"/>
          <w:bCs/>
          <w:color w:val="auto"/>
          <w:sz w:val="32"/>
          <w:szCs w:val="32"/>
          <w:lang w:val="zh-CN"/>
        </w:rPr>
        <w:t>十一、落实习惯过紧日子要求、保障重点支出情况说明</w:t>
      </w:r>
      <w:bookmarkEnd w:id="102"/>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zh-CN"/>
        </w:rPr>
        <w:t>按照党中央、国务院关于党政机关习惯过紧日子的有关要求，厉行节约办一切事业，严控一般性支出。同时坚持有保有压，优化支出结构，提高资金使用效率，本单位无保障重点支出此项内容。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黑体" w:hAnsi="黑体" w:eastAsia="黑体" w:cs="黑体"/>
          <w:bCs/>
          <w:color w:val="auto"/>
          <w:sz w:val="32"/>
          <w:szCs w:val="32"/>
        </w:rPr>
      </w:pPr>
      <w:bookmarkStart w:id="103" w:name="_Toc684106369"/>
      <w:r>
        <w:rPr>
          <w:rFonts w:hint="eastAsia" w:ascii="黑体" w:hAnsi="黑体" w:eastAsia="黑体" w:cs="黑体"/>
          <w:bCs/>
          <w:color w:val="auto"/>
          <w:sz w:val="32"/>
          <w:szCs w:val="32"/>
        </w:rPr>
        <w:t>十</w:t>
      </w:r>
      <w:r>
        <w:rPr>
          <w:rFonts w:hint="eastAsia" w:ascii="黑体" w:hAnsi="黑体" w:eastAsia="黑体" w:cs="黑体"/>
          <w:bCs/>
          <w:color w:val="auto"/>
          <w:sz w:val="32"/>
          <w:szCs w:val="32"/>
          <w:lang w:val="en-US" w:eastAsia="zh-CN"/>
        </w:rPr>
        <w:t>二</w:t>
      </w:r>
      <w:r>
        <w:rPr>
          <w:rFonts w:hint="eastAsia" w:ascii="黑体" w:hAnsi="黑体" w:eastAsia="黑体" w:cs="黑体"/>
          <w:bCs/>
          <w:color w:val="auto"/>
          <w:sz w:val="32"/>
          <w:szCs w:val="32"/>
        </w:rPr>
        <w:t>、其他重要事项情况说明</w:t>
      </w:r>
      <w:bookmarkEnd w:id="103"/>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104" w:name="_Toc15565_WPSOffice_Level2"/>
      <w:bookmarkStart w:id="105" w:name="_Toc23598_WPSOffice_Level2"/>
      <w:bookmarkStart w:id="106" w:name="_Toc15262_WPSOffice_Level2"/>
      <w:bookmarkStart w:id="107" w:name="_Toc32639_WPSOffice_Level2"/>
      <w:bookmarkStart w:id="108" w:name="_Toc18325_WPSOffice_Level2"/>
      <w:bookmarkStart w:id="109" w:name="_Toc5978_WPSOffice_Level2"/>
      <w:r>
        <w:rPr>
          <w:rFonts w:hint="eastAsia" w:ascii="楷体" w:hAnsi="楷体" w:eastAsia="楷体" w:cs="楷体"/>
          <w:bCs/>
          <w:color w:val="auto"/>
          <w:sz w:val="32"/>
          <w:szCs w:val="32"/>
        </w:rPr>
        <w:t>（一）机关运行经费支出情况</w:t>
      </w:r>
      <w:bookmarkEnd w:id="104"/>
      <w:bookmarkEnd w:id="105"/>
      <w:bookmarkEnd w:id="106"/>
      <w:bookmarkEnd w:id="107"/>
      <w:bookmarkEnd w:id="108"/>
      <w:bookmarkEnd w:id="109"/>
    </w:p>
    <w:p>
      <w:pPr>
        <w:numPr>
          <w:ilvl w:val="0"/>
          <w:numId w:val="0"/>
        </w:numPr>
        <w:tabs>
          <w:tab w:val="center" w:pos="4473"/>
        </w:tabs>
        <w:spacing w:line="360" w:lineRule="auto"/>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val="en-US" w:eastAsia="zh-CN"/>
        </w:rPr>
        <w:t>无此项内容</w:t>
      </w:r>
      <w:r>
        <w:rPr>
          <w:rFonts w:hint="eastAsia" w:ascii="宋体" w:hAnsi="宋体" w:eastAsia="宋体" w:cs="宋体"/>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110" w:name="_Toc3131_WPSOffice_Level2"/>
      <w:bookmarkStart w:id="111" w:name="_Toc30383_WPSOffice_Level2"/>
      <w:bookmarkStart w:id="112" w:name="_Toc25333_WPSOffice_Level2"/>
      <w:bookmarkStart w:id="113" w:name="_Toc23966_WPSOffice_Level2"/>
      <w:bookmarkStart w:id="114" w:name="_Toc32689_WPSOffice_Level2"/>
      <w:bookmarkStart w:id="115" w:name="_Toc13084_WPSOffice_Level2"/>
      <w:r>
        <w:rPr>
          <w:rFonts w:hint="eastAsia" w:ascii="楷体" w:hAnsi="楷体" w:eastAsia="楷体" w:cs="楷体"/>
          <w:bCs/>
          <w:color w:val="auto"/>
          <w:sz w:val="32"/>
          <w:szCs w:val="32"/>
        </w:rPr>
        <w:t>（二）政府采购支出情况</w:t>
      </w:r>
      <w:bookmarkEnd w:id="110"/>
      <w:bookmarkEnd w:id="111"/>
      <w:bookmarkEnd w:id="112"/>
      <w:bookmarkEnd w:id="113"/>
      <w:bookmarkEnd w:id="114"/>
      <w:bookmarkEnd w:id="115"/>
    </w:p>
    <w:p>
      <w:pPr>
        <w:numPr>
          <w:ilvl w:val="0"/>
          <w:numId w:val="0"/>
        </w:numPr>
        <w:tabs>
          <w:tab w:val="center" w:pos="4473"/>
        </w:tabs>
        <w:spacing w:line="360" w:lineRule="auto"/>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val="en-US" w:eastAsia="zh-CN"/>
        </w:rPr>
        <w:t>无此项内容</w:t>
      </w:r>
      <w:r>
        <w:rPr>
          <w:rFonts w:hint="eastAsia" w:ascii="宋体" w:hAnsi="宋体" w:eastAsia="宋体" w:cs="宋体"/>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116" w:name="_Toc10902_WPSOffice_Level2"/>
      <w:bookmarkStart w:id="117" w:name="_Toc6016_WPSOffice_Level2"/>
      <w:bookmarkStart w:id="118" w:name="_Toc19989_WPSOffice_Level2"/>
      <w:bookmarkStart w:id="119" w:name="_Toc527_WPSOffice_Level2"/>
      <w:bookmarkStart w:id="120" w:name="_Toc15129_WPSOffice_Level2"/>
      <w:bookmarkStart w:id="121" w:name="_Toc29584_WPSOffice_Level2"/>
      <w:r>
        <w:rPr>
          <w:rFonts w:hint="eastAsia" w:ascii="楷体" w:hAnsi="楷体" w:eastAsia="楷体" w:cs="楷体"/>
          <w:bCs/>
          <w:color w:val="auto"/>
          <w:sz w:val="32"/>
          <w:szCs w:val="32"/>
        </w:rPr>
        <w:t>（三）国有资产占用情况</w:t>
      </w:r>
      <w:bookmarkEnd w:id="116"/>
      <w:bookmarkEnd w:id="117"/>
      <w:bookmarkEnd w:id="118"/>
      <w:bookmarkEnd w:id="119"/>
      <w:bookmarkEnd w:id="120"/>
      <w:bookmarkEnd w:id="121"/>
    </w:p>
    <w:p>
      <w:pPr>
        <w:numPr>
          <w:ilvl w:val="0"/>
          <w:numId w:val="0"/>
        </w:numPr>
        <w:tabs>
          <w:tab w:val="center" w:pos="4473"/>
        </w:tabs>
        <w:spacing w:line="360" w:lineRule="auto"/>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val="en-US" w:eastAsia="zh-CN"/>
        </w:rPr>
        <w:t>无此项内容</w:t>
      </w:r>
      <w:r>
        <w:rPr>
          <w:rFonts w:hint="eastAsia" w:ascii="宋体" w:hAnsi="宋体" w:eastAsia="宋体" w:cs="宋体"/>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center"/>
        <w:textAlignment w:val="auto"/>
        <w:rPr>
          <w:rFonts w:hint="eastAsia" w:ascii="黑体" w:hAnsi="ˎ̥" w:eastAsia="黑体"/>
          <w:color w:val="auto"/>
          <w:sz w:val="32"/>
          <w:szCs w:val="32"/>
        </w:rPr>
      </w:pPr>
      <w:bookmarkStart w:id="122" w:name="_Toc17580_WPSOffice_Level1"/>
      <w:bookmarkStart w:id="123" w:name="_Toc11039_WPSOffice_Level1"/>
      <w:bookmarkStart w:id="124" w:name="_Toc8874_WPSOffice_Level1"/>
      <w:bookmarkStart w:id="125" w:name="_Toc4398_WPSOffice_Level1"/>
      <w:bookmarkStart w:id="126" w:name="_Toc8808_WPSOffice_Level1"/>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eastAsia" w:ascii="黑体" w:hAnsi="ˎ̥" w:eastAsia="黑体"/>
          <w:color w:val="auto"/>
          <w:sz w:val="32"/>
          <w:szCs w:val="32"/>
        </w:rPr>
      </w:pPr>
      <w:bookmarkStart w:id="127" w:name="_Toc668184612"/>
      <w:r>
        <w:rPr>
          <w:rFonts w:hint="eastAsia" w:ascii="黑体" w:hAnsi="ˎ̥" w:eastAsia="黑体"/>
          <w:color w:val="auto"/>
          <w:sz w:val="32"/>
          <w:szCs w:val="32"/>
        </w:rPr>
        <w:t>第四部分  名词解释</w:t>
      </w:r>
      <w:bookmarkEnd w:id="122"/>
      <w:bookmarkEnd w:id="123"/>
      <w:bookmarkEnd w:id="124"/>
      <w:bookmarkEnd w:id="125"/>
      <w:bookmarkEnd w:id="126"/>
      <w:bookmarkEnd w:id="127"/>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color w:val="auto"/>
          <w:sz w:val="32"/>
          <w:szCs w:val="32"/>
        </w:rPr>
      </w:pPr>
    </w:p>
    <w:p>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财政拨款收入：指同级政府财政部门当年拨付的各类财政拨款。</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二、上级补助收入：指事业单位从主管部门和上级单位取得的非财政补助收入。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五、附属单位上缴收入：指事业单位取得附属独立核算单位根据有关规定上缴的收入。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六、其他收入：指除上述“财政拨款收入”“事业收入”“上级补助收入”“经营收入”“附属单位上缴收入”等以外的收入。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七、使用非财政拨款结余（含专用结余）：指事业单位在当年的“财政拨款收入”“事业收入”“经营收入”“其他收入”等不足以安排当年支出的情况下，使用非同级财政拨款结余资金弥补本年度收支缺口。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八、年初结转和结余：指以前年度尚未完成、结转到本年按有关规定继续使用的资金，或项目已完成等产生的结余资金。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九、结余分配：指事业单位缴纳企业所得税以及从非财政拨款结余或经营结余中提取各类结余的情况。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十一、基本支出：指为保障机构正常运转、完成日常工作任务而发生的人员支出和公用支出。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十二、项目支出：指在基本支出之外为完成特定行政任务和事业发展目标所发生的支出。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十三、经营支出：指事业单位在专业业务活动及其辅助活动之外开展非独立核算经营活动发生的支出。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十四、“三公”经费：纳入本级财政预决算管理的“三公”经费，是指用一般公共预算财政拨款、政府性基金预算财政拨款及国有资本经营预算财政拨款安排的因公出国（境）费</w:t>
      </w:r>
      <w:r>
        <w:rPr>
          <w:rFonts w:hint="eastAsia" w:ascii="仿宋" w:hAnsi="仿宋" w:eastAsia="仿宋" w:cs="仿宋"/>
          <w:color w:val="auto"/>
          <w:sz w:val="32"/>
          <w:szCs w:val="32"/>
          <w:highlight w:val="none"/>
          <w:lang w:eastAsia="zh-CN"/>
        </w:rPr>
        <w:t>用</w:t>
      </w:r>
      <w:r>
        <w:rPr>
          <w:rFonts w:hint="eastAsia" w:ascii="仿宋" w:hAnsi="仿宋" w:eastAsia="仿宋" w:cs="仿宋"/>
          <w:color w:val="auto"/>
          <w:sz w:val="32"/>
          <w:szCs w:val="32"/>
          <w:highlight w:val="none"/>
        </w:rPr>
        <w:t>、公务用车购置及运行维护费和公务接待费。其中，因公出国（境）费</w:t>
      </w:r>
      <w:r>
        <w:rPr>
          <w:rFonts w:hint="eastAsia" w:ascii="仿宋" w:hAnsi="仿宋" w:eastAsia="仿宋" w:cs="仿宋"/>
          <w:color w:val="auto"/>
          <w:sz w:val="32"/>
          <w:szCs w:val="32"/>
          <w:highlight w:val="none"/>
          <w:lang w:eastAsia="zh-CN"/>
        </w:rPr>
        <w:t>用</w:t>
      </w:r>
      <w:r>
        <w:rPr>
          <w:rFonts w:hint="eastAsia" w:ascii="仿宋" w:hAnsi="仿宋" w:eastAsia="仿宋" w:cs="仿宋"/>
          <w:color w:val="auto"/>
          <w:sz w:val="32"/>
          <w:szCs w:val="32"/>
          <w:highlight w:val="none"/>
        </w:rPr>
        <w:t>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十六、支出功能分类：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 w:val="0"/>
          <w:bCs w:val="0"/>
          <w:color w:val="auto"/>
          <w:sz w:val="32"/>
          <w:szCs w:val="32"/>
          <w:lang w:eastAsia="zh-CN"/>
        </w:rPr>
      </w:pPr>
      <w:r>
        <w:rPr>
          <w:rFonts w:hint="eastAsia" w:ascii="宋体" w:hAnsi="宋体" w:eastAsia="宋体" w:cs="宋体"/>
          <w:b w:val="0"/>
          <w:bCs w:val="0"/>
          <w:color w:val="auto"/>
          <w:sz w:val="32"/>
          <w:szCs w:val="32"/>
        </w:rPr>
        <w:t>1.一般公共服务（类）</w:t>
      </w:r>
      <w:r>
        <w:rPr>
          <w:rFonts w:hint="eastAsia" w:ascii="宋体" w:hAnsi="宋体" w:eastAsia="宋体" w:cs="宋体"/>
          <w:b w:val="0"/>
          <w:bCs w:val="0"/>
          <w:color w:val="auto"/>
          <w:sz w:val="32"/>
          <w:szCs w:val="32"/>
          <w:lang w:eastAsia="zh-CN"/>
        </w:rPr>
        <w:t>财政</w:t>
      </w:r>
      <w:r>
        <w:rPr>
          <w:rFonts w:hint="eastAsia" w:ascii="宋体" w:hAnsi="宋体" w:eastAsia="宋体" w:cs="宋体"/>
          <w:b w:val="0"/>
          <w:bCs w:val="0"/>
          <w:color w:val="auto"/>
          <w:sz w:val="32"/>
          <w:szCs w:val="32"/>
        </w:rPr>
        <w:t>事务（款）</w:t>
      </w:r>
      <w:r>
        <w:rPr>
          <w:rFonts w:hint="eastAsia" w:ascii="宋体" w:hAnsi="宋体" w:eastAsia="宋体" w:cs="宋体"/>
          <w:b w:val="0"/>
          <w:bCs w:val="0"/>
          <w:color w:val="auto"/>
          <w:sz w:val="32"/>
          <w:szCs w:val="32"/>
          <w:lang w:eastAsia="zh-CN"/>
        </w:rPr>
        <w:t>事业</w:t>
      </w:r>
      <w:r>
        <w:rPr>
          <w:rFonts w:hint="eastAsia" w:ascii="宋体" w:hAnsi="宋体" w:eastAsia="宋体" w:cs="宋体"/>
          <w:b w:val="0"/>
          <w:bCs w:val="0"/>
          <w:color w:val="auto"/>
          <w:sz w:val="32"/>
          <w:szCs w:val="32"/>
        </w:rPr>
        <w:t>运行（项）</w:t>
      </w:r>
      <w:r>
        <w:rPr>
          <w:rFonts w:hint="eastAsia" w:ascii="宋体" w:hAnsi="宋体" w:eastAsia="宋体" w:cs="宋体"/>
          <w:b w:val="0"/>
          <w:bCs w:val="0"/>
          <w:color w:val="auto"/>
          <w:sz w:val="32"/>
          <w:szCs w:val="32"/>
          <w:lang w:eastAsia="zh-CN"/>
        </w:rPr>
        <w:t>，反映事业单位的基本支出，不包括行政单位（包括实行公务员管理的事业单位）后勤服务中心、医务室等附属事业单位。</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 w:val="0"/>
          <w:bCs/>
          <w:color w:val="auto"/>
          <w:sz w:val="32"/>
          <w:szCs w:val="32"/>
          <w:lang w:eastAsia="zh-CN"/>
        </w:rPr>
      </w:pPr>
      <w:r>
        <w:rPr>
          <w:rFonts w:hint="eastAsia" w:ascii="宋体" w:hAnsi="宋体" w:eastAsia="宋体" w:cs="宋体"/>
          <w:b w:val="0"/>
          <w:bCs/>
          <w:color w:val="auto"/>
          <w:sz w:val="32"/>
          <w:szCs w:val="32"/>
          <w:lang w:val="en-US" w:eastAsia="zh-CN"/>
        </w:rPr>
        <w:t>2.</w:t>
      </w:r>
      <w:r>
        <w:rPr>
          <w:rFonts w:hint="eastAsia" w:ascii="宋体" w:hAnsi="宋体" w:eastAsia="宋体" w:cs="宋体"/>
          <w:b w:val="0"/>
          <w:bCs/>
          <w:color w:val="auto"/>
          <w:sz w:val="32"/>
          <w:szCs w:val="32"/>
        </w:rPr>
        <w:t>社会保障和就业（类）</w:t>
      </w:r>
      <w:r>
        <w:rPr>
          <w:rFonts w:hint="eastAsia" w:ascii="宋体" w:hAnsi="宋体" w:eastAsia="宋体" w:cs="宋体"/>
          <w:b w:val="0"/>
          <w:bCs/>
          <w:color w:val="auto"/>
          <w:sz w:val="32"/>
          <w:szCs w:val="32"/>
          <w:lang w:eastAsia="zh-CN"/>
        </w:rPr>
        <w:t>行政事业单位养老</w:t>
      </w:r>
      <w:r>
        <w:rPr>
          <w:rFonts w:hint="eastAsia" w:ascii="宋体" w:hAnsi="宋体" w:eastAsia="宋体" w:cs="宋体"/>
          <w:b w:val="0"/>
          <w:bCs/>
          <w:color w:val="auto"/>
          <w:sz w:val="32"/>
          <w:szCs w:val="32"/>
        </w:rPr>
        <w:t>（款）机关事业单位基本养老保险缴费（项）</w:t>
      </w:r>
      <w:r>
        <w:rPr>
          <w:rFonts w:hint="eastAsia" w:ascii="宋体" w:hAnsi="宋体" w:eastAsia="宋体" w:cs="宋体"/>
          <w:b w:val="0"/>
          <w:bCs/>
          <w:color w:val="auto"/>
          <w:sz w:val="32"/>
          <w:szCs w:val="32"/>
          <w:lang w:eastAsia="zh-CN"/>
        </w:rPr>
        <w:t>，反映机关事业单位实施养老保险制度由单位缴纳的基本养老保险费支出。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 w:val="0"/>
          <w:bCs/>
          <w:color w:val="auto"/>
          <w:sz w:val="32"/>
          <w:szCs w:val="32"/>
          <w:lang w:eastAsia="zh-CN"/>
        </w:rPr>
      </w:pPr>
      <w:r>
        <w:rPr>
          <w:rFonts w:hint="eastAsia" w:ascii="宋体" w:hAnsi="宋体" w:eastAsia="宋体" w:cs="宋体"/>
          <w:b w:val="0"/>
          <w:bCs w:val="0"/>
          <w:color w:val="auto"/>
          <w:sz w:val="32"/>
          <w:szCs w:val="32"/>
          <w:lang w:val="en-US" w:eastAsia="zh-CN"/>
        </w:rPr>
        <w:t>3.</w:t>
      </w:r>
      <w:r>
        <w:rPr>
          <w:rFonts w:hint="eastAsia" w:ascii="宋体" w:hAnsi="宋体" w:eastAsia="宋体" w:cs="宋体"/>
          <w:b w:val="0"/>
          <w:bCs w:val="0"/>
          <w:color w:val="auto"/>
          <w:sz w:val="32"/>
          <w:szCs w:val="32"/>
        </w:rPr>
        <w:t>社会保障和就业（类）</w:t>
      </w:r>
      <w:r>
        <w:rPr>
          <w:rFonts w:hint="eastAsia" w:ascii="宋体" w:hAnsi="宋体" w:eastAsia="宋体" w:cs="宋体"/>
          <w:b w:val="0"/>
          <w:bCs w:val="0"/>
          <w:color w:val="auto"/>
          <w:sz w:val="32"/>
          <w:szCs w:val="32"/>
          <w:lang w:eastAsia="zh-CN"/>
        </w:rPr>
        <w:t>行政事业单位养老</w:t>
      </w:r>
      <w:r>
        <w:rPr>
          <w:rFonts w:hint="eastAsia" w:ascii="宋体" w:hAnsi="宋体" w:eastAsia="宋体" w:cs="宋体"/>
          <w:b w:val="0"/>
          <w:bCs w:val="0"/>
          <w:color w:val="auto"/>
          <w:sz w:val="32"/>
          <w:szCs w:val="32"/>
        </w:rPr>
        <w:t>（款）机关事业单位</w:t>
      </w:r>
      <w:r>
        <w:rPr>
          <w:rFonts w:hint="eastAsia" w:ascii="宋体" w:hAnsi="宋体" w:eastAsia="宋体" w:cs="宋体"/>
          <w:b w:val="0"/>
          <w:bCs w:val="0"/>
          <w:color w:val="auto"/>
          <w:sz w:val="32"/>
          <w:szCs w:val="32"/>
          <w:lang w:eastAsia="zh-CN"/>
        </w:rPr>
        <w:t>职业年金</w:t>
      </w:r>
      <w:r>
        <w:rPr>
          <w:rFonts w:hint="eastAsia" w:ascii="宋体" w:hAnsi="宋体" w:eastAsia="宋体" w:cs="宋体"/>
          <w:b w:val="0"/>
          <w:bCs w:val="0"/>
          <w:color w:val="auto"/>
          <w:sz w:val="32"/>
          <w:szCs w:val="32"/>
        </w:rPr>
        <w:t>缴费（项）</w:t>
      </w:r>
      <w:r>
        <w:rPr>
          <w:rFonts w:hint="eastAsia" w:ascii="宋体" w:hAnsi="宋体" w:eastAsia="宋体" w:cs="宋体"/>
          <w:b w:val="0"/>
          <w:bCs w:val="0"/>
          <w:color w:val="auto"/>
          <w:sz w:val="32"/>
          <w:szCs w:val="32"/>
          <w:lang w:eastAsia="zh-CN"/>
        </w:rPr>
        <w:t>，</w:t>
      </w:r>
      <w:r>
        <w:rPr>
          <w:rFonts w:hint="eastAsia" w:ascii="宋体" w:hAnsi="宋体" w:eastAsia="宋体" w:cs="宋体"/>
          <w:b w:val="0"/>
          <w:bCs/>
          <w:color w:val="auto"/>
          <w:sz w:val="32"/>
          <w:szCs w:val="32"/>
          <w:lang w:eastAsia="zh-CN"/>
        </w:rPr>
        <w:t>反映机关事业单位实施养老保险制度由单位缴纳的职业年金支出。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 w:val="0"/>
          <w:bCs w:val="0"/>
          <w:color w:val="auto"/>
          <w:sz w:val="32"/>
          <w:szCs w:val="32"/>
          <w:lang w:eastAsia="zh-CN"/>
        </w:rPr>
      </w:pPr>
      <w:r>
        <w:rPr>
          <w:rFonts w:hint="eastAsia" w:ascii="宋体" w:hAnsi="宋体" w:eastAsia="宋体" w:cs="宋体"/>
          <w:b w:val="0"/>
          <w:bCs w:val="0"/>
          <w:color w:val="auto"/>
          <w:sz w:val="32"/>
          <w:szCs w:val="32"/>
          <w:lang w:val="en-US" w:eastAsia="zh-CN"/>
        </w:rPr>
        <w:t>4.</w:t>
      </w:r>
      <w:r>
        <w:rPr>
          <w:rFonts w:hint="eastAsia" w:ascii="宋体" w:hAnsi="宋体" w:eastAsia="宋体" w:cs="宋体"/>
          <w:b w:val="0"/>
          <w:bCs w:val="0"/>
          <w:color w:val="auto"/>
          <w:sz w:val="32"/>
          <w:szCs w:val="32"/>
          <w:lang w:eastAsia="zh-CN"/>
        </w:rPr>
        <w:t>卫生健康</w:t>
      </w:r>
      <w:r>
        <w:rPr>
          <w:rFonts w:hint="eastAsia" w:ascii="宋体" w:hAnsi="宋体" w:eastAsia="宋体" w:cs="宋体"/>
          <w:b w:val="0"/>
          <w:bCs w:val="0"/>
          <w:color w:val="auto"/>
          <w:sz w:val="32"/>
          <w:szCs w:val="32"/>
        </w:rPr>
        <w:t>（类）</w:t>
      </w:r>
      <w:r>
        <w:rPr>
          <w:rFonts w:hint="eastAsia" w:ascii="宋体" w:hAnsi="宋体" w:eastAsia="宋体" w:cs="宋体"/>
          <w:b w:val="0"/>
          <w:bCs w:val="0"/>
          <w:color w:val="auto"/>
          <w:sz w:val="32"/>
          <w:szCs w:val="32"/>
          <w:lang w:eastAsia="zh-CN"/>
        </w:rPr>
        <w:t>行政事业单位医疗</w:t>
      </w:r>
      <w:r>
        <w:rPr>
          <w:rFonts w:hint="eastAsia" w:ascii="宋体" w:hAnsi="宋体" w:eastAsia="宋体" w:cs="宋体"/>
          <w:b w:val="0"/>
          <w:bCs w:val="0"/>
          <w:color w:val="auto"/>
          <w:sz w:val="32"/>
          <w:szCs w:val="32"/>
        </w:rPr>
        <w:t>（款）</w:t>
      </w:r>
      <w:r>
        <w:rPr>
          <w:rFonts w:hint="eastAsia" w:ascii="宋体" w:hAnsi="宋体" w:eastAsia="宋体" w:cs="宋体"/>
          <w:b w:val="0"/>
          <w:bCs w:val="0"/>
          <w:color w:val="auto"/>
          <w:sz w:val="32"/>
          <w:szCs w:val="32"/>
          <w:lang w:eastAsia="zh-CN"/>
        </w:rPr>
        <w:t>事业单位医疗</w:t>
      </w:r>
      <w:r>
        <w:rPr>
          <w:rFonts w:hint="eastAsia" w:ascii="宋体" w:hAnsi="宋体" w:eastAsia="宋体" w:cs="宋体"/>
          <w:b w:val="0"/>
          <w:bCs w:val="0"/>
          <w:color w:val="auto"/>
          <w:sz w:val="32"/>
          <w:szCs w:val="32"/>
        </w:rPr>
        <w:t>（项）</w:t>
      </w:r>
      <w:r>
        <w:rPr>
          <w:rFonts w:hint="eastAsia" w:ascii="宋体" w:hAnsi="宋体" w:eastAsia="宋体" w:cs="宋体"/>
          <w:b w:val="0"/>
          <w:bCs w:val="0"/>
          <w:color w:val="auto"/>
          <w:sz w:val="32"/>
          <w:szCs w:val="32"/>
          <w:lang w:eastAsia="zh-CN"/>
        </w:rPr>
        <w:t>，反映行政事业单位医疗方面的支出。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5.</w:t>
      </w:r>
      <w:r>
        <w:rPr>
          <w:rFonts w:hint="eastAsia" w:ascii="宋体" w:hAnsi="宋体" w:eastAsia="宋体" w:cs="宋体"/>
          <w:b w:val="0"/>
          <w:bCs w:val="0"/>
          <w:color w:val="auto"/>
          <w:sz w:val="32"/>
          <w:szCs w:val="32"/>
        </w:rPr>
        <w:t>住房保障支出（类）住房改革支出（款）住房公积金（项）</w:t>
      </w:r>
      <w:r>
        <w:rPr>
          <w:rFonts w:hint="eastAsia" w:ascii="宋体" w:hAnsi="宋体" w:eastAsia="宋体" w:cs="宋体"/>
          <w:b w:val="0"/>
          <w:bCs w:val="0"/>
          <w:color w:val="auto"/>
          <w:sz w:val="32"/>
          <w:szCs w:val="32"/>
          <w:lang w:eastAsia="zh-CN"/>
        </w:rPr>
        <w:t>，反映行政事业单位按人力资源和社会保障部、财政部规定的基本工资和津贴补贴以及规定比例为职工缴纳的住房公积金。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78" w:lineRule="exact"/>
        <w:ind w:firstLine="420" w:firstLineChars="200"/>
        <w:textAlignment w:val="auto"/>
        <w:rPr>
          <w:color w:val="auto"/>
        </w:rPr>
      </w:pPr>
    </w:p>
    <w:sectPr>
      <w:footerReference r:id="rId3" w:type="default"/>
      <w:footerReference r:id="rId4" w:type="even"/>
      <w:pgSz w:w="11906" w:h="16838"/>
      <w:pgMar w:top="2098" w:right="1474" w:bottom="130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ˎ̥">
    <w:altName w:val="华文中宋"/>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Fonts w:hint="eastAsia" w:ascii="宋体" w:hAnsi="宋体" w:eastAsia="宋体" w:cs="宋体"/>
        <w:sz w:val="28"/>
        <w:szCs w:val="28"/>
      </w:rPr>
    </w:pPr>
    <w:r>
      <w:rPr>
        <w:rFonts w:hint="eastAsia" w:ascii="宋体" w:hAnsi="宋体" w:eastAsia="宋体" w:cs="宋体"/>
        <w:sz w:val="28"/>
        <w:szCs w:val="28"/>
      </w:rPr>
      <w:fldChar w:fldCharType="begin"/>
    </w:r>
    <w:r>
      <w:rPr>
        <w:rStyle w:val="9"/>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9"/>
        <w:rFonts w:hint="eastAsia" w:ascii="宋体" w:hAnsi="宋体" w:eastAsia="宋体" w:cs="宋体"/>
        <w:sz w:val="28"/>
        <w:szCs w:val="28"/>
      </w:rPr>
      <w:t>18</w:t>
    </w:r>
    <w:r>
      <w:rPr>
        <w:rFonts w:hint="eastAsia" w:ascii="宋体" w:hAnsi="宋体" w:eastAsia="宋体" w:cs="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DE7ABA8A"/>
    <w:multiLevelType w:val="singleLevel"/>
    <w:tmpl w:val="DE7ABA8A"/>
    <w:lvl w:ilvl="0" w:tentative="0">
      <w:start w:val="1"/>
      <w:numFmt w:val="chineseCounting"/>
      <w:suff w:val="nothing"/>
      <w:lvlText w:val="%1、"/>
      <w:lvlJc w:val="left"/>
      <w:rPr>
        <w:rFonts w:hint="eastAsia"/>
      </w:rPr>
    </w:lvl>
  </w:abstractNum>
  <w:abstractNum w:abstractNumId="2">
    <w:nsid w:val="DFFFA3A1"/>
    <w:multiLevelType w:val="singleLevel"/>
    <w:tmpl w:val="DFFFA3A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35166A0"/>
    <w:rsid w:val="03AF1619"/>
    <w:rsid w:val="04CB1139"/>
    <w:rsid w:val="06400C4E"/>
    <w:rsid w:val="080B7C62"/>
    <w:rsid w:val="09201287"/>
    <w:rsid w:val="0AF81AF7"/>
    <w:rsid w:val="0B8646CF"/>
    <w:rsid w:val="0F0D0E98"/>
    <w:rsid w:val="0F5B4403"/>
    <w:rsid w:val="0F64775C"/>
    <w:rsid w:val="0FC80124"/>
    <w:rsid w:val="106D0892"/>
    <w:rsid w:val="136F98C7"/>
    <w:rsid w:val="13CC1D73"/>
    <w:rsid w:val="17427E68"/>
    <w:rsid w:val="1755065F"/>
    <w:rsid w:val="17F378CF"/>
    <w:rsid w:val="1AFC29C9"/>
    <w:rsid w:val="1CA52F2E"/>
    <w:rsid w:val="1CF223EA"/>
    <w:rsid w:val="1E3630B9"/>
    <w:rsid w:val="1E766B63"/>
    <w:rsid w:val="22FB1D2D"/>
    <w:rsid w:val="24013373"/>
    <w:rsid w:val="26EEC2B5"/>
    <w:rsid w:val="29472309"/>
    <w:rsid w:val="2B406E77"/>
    <w:rsid w:val="2BF67536"/>
    <w:rsid w:val="2C2A0C43"/>
    <w:rsid w:val="2C895B0F"/>
    <w:rsid w:val="2D1E73A5"/>
    <w:rsid w:val="2D984D48"/>
    <w:rsid w:val="2DAA682A"/>
    <w:rsid w:val="32717154"/>
    <w:rsid w:val="34B63260"/>
    <w:rsid w:val="37FDA7E2"/>
    <w:rsid w:val="389D2A9B"/>
    <w:rsid w:val="3A314D88"/>
    <w:rsid w:val="3A746883"/>
    <w:rsid w:val="3C8A1D00"/>
    <w:rsid w:val="3CA15DE9"/>
    <w:rsid w:val="3CFF214B"/>
    <w:rsid w:val="3D0F0457"/>
    <w:rsid w:val="3DFA2EB5"/>
    <w:rsid w:val="3DFD1039"/>
    <w:rsid w:val="3FD02B45"/>
    <w:rsid w:val="3FE61EE5"/>
    <w:rsid w:val="406508EE"/>
    <w:rsid w:val="408D6263"/>
    <w:rsid w:val="41B40CEE"/>
    <w:rsid w:val="42834F1E"/>
    <w:rsid w:val="45060392"/>
    <w:rsid w:val="46773AE2"/>
    <w:rsid w:val="48317291"/>
    <w:rsid w:val="484D5079"/>
    <w:rsid w:val="485F7024"/>
    <w:rsid w:val="488F68F0"/>
    <w:rsid w:val="48C447EC"/>
    <w:rsid w:val="48E70666"/>
    <w:rsid w:val="4C6877E5"/>
    <w:rsid w:val="4D4E6D7A"/>
    <w:rsid w:val="4D6A468D"/>
    <w:rsid w:val="4EA86137"/>
    <w:rsid w:val="51DA7627"/>
    <w:rsid w:val="54AB6860"/>
    <w:rsid w:val="55384597"/>
    <w:rsid w:val="56031AB3"/>
    <w:rsid w:val="56B81EA5"/>
    <w:rsid w:val="56CA7FD0"/>
    <w:rsid w:val="57832294"/>
    <w:rsid w:val="57BEFAAF"/>
    <w:rsid w:val="57FA38D1"/>
    <w:rsid w:val="58174786"/>
    <w:rsid w:val="5A6A4AC7"/>
    <w:rsid w:val="5AB97EAE"/>
    <w:rsid w:val="5D9E1657"/>
    <w:rsid w:val="5EF9816F"/>
    <w:rsid w:val="5F7D3333"/>
    <w:rsid w:val="601D7037"/>
    <w:rsid w:val="61385890"/>
    <w:rsid w:val="64CC0566"/>
    <w:rsid w:val="66CB4B3F"/>
    <w:rsid w:val="687436E1"/>
    <w:rsid w:val="6A6B4546"/>
    <w:rsid w:val="6A8E20AF"/>
    <w:rsid w:val="6DA45C50"/>
    <w:rsid w:val="6E9A7825"/>
    <w:rsid w:val="6F670F9B"/>
    <w:rsid w:val="6FBFBF36"/>
    <w:rsid w:val="6FFEB2C9"/>
    <w:rsid w:val="737450E0"/>
    <w:rsid w:val="74054476"/>
    <w:rsid w:val="742F38C4"/>
    <w:rsid w:val="74AB66DC"/>
    <w:rsid w:val="74C4154C"/>
    <w:rsid w:val="75956FFF"/>
    <w:rsid w:val="778D20C9"/>
    <w:rsid w:val="77AA2D01"/>
    <w:rsid w:val="783C4637"/>
    <w:rsid w:val="793C6888"/>
    <w:rsid w:val="7AA7A255"/>
    <w:rsid w:val="7CDE1DBD"/>
    <w:rsid w:val="7D943A85"/>
    <w:rsid w:val="7DB0448C"/>
    <w:rsid w:val="7E5F9AA4"/>
    <w:rsid w:val="7EFDD310"/>
    <w:rsid w:val="7F2531B4"/>
    <w:rsid w:val="7FBD4262"/>
    <w:rsid w:val="7FD3D93B"/>
    <w:rsid w:val="87B74EFF"/>
    <w:rsid w:val="8FFC8888"/>
    <w:rsid w:val="A7F73C99"/>
    <w:rsid w:val="BFFE3BF4"/>
    <w:rsid w:val="CE8AA4DC"/>
    <w:rsid w:val="D8FF1F5A"/>
    <w:rsid w:val="DFCD3D05"/>
    <w:rsid w:val="DFEBDA37"/>
    <w:rsid w:val="E14F2AF3"/>
    <w:rsid w:val="E7F707BF"/>
    <w:rsid w:val="EEFE8ABD"/>
    <w:rsid w:val="EF6FCA1D"/>
    <w:rsid w:val="EFFF57D6"/>
    <w:rsid w:val="F7FF97EE"/>
    <w:rsid w:val="F9906356"/>
    <w:rsid w:val="F9DD1C34"/>
    <w:rsid w:val="FD33A2D0"/>
    <w:rsid w:val="FF7FA20F"/>
    <w:rsid w:val="FFF47587"/>
    <w:rsid w:val="FFFE81A3"/>
    <w:rsid w:val="FFFF2E60"/>
    <w:rsid w:val="FFFFEFB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page number"/>
    <w:qFormat/>
    <w:uiPriority w:val="0"/>
  </w:style>
  <w:style w:type="character" w:styleId="10">
    <w:name w:val="annotation reference"/>
    <w:qFormat/>
    <w:uiPriority w:val="0"/>
    <w:rPr>
      <w:sz w:val="21"/>
      <w:szCs w:val="21"/>
    </w:rPr>
  </w:style>
  <w:style w:type="character" w:customStyle="1" w:styleId="11">
    <w:name w:val="批注文字 Char"/>
    <w:link w:val="2"/>
    <w:qFormat/>
    <w:uiPriority w:val="0"/>
    <w:rPr>
      <w:kern w:val="2"/>
      <w:sz w:val="21"/>
      <w:szCs w:val="24"/>
    </w:rPr>
  </w:style>
  <w:style w:type="character" w:customStyle="1" w:styleId="12">
    <w:name w:val="批注框文本 Char"/>
    <w:link w:val="3"/>
    <w:qFormat/>
    <w:uiPriority w:val="0"/>
    <w:rPr>
      <w:kern w:val="2"/>
      <w:sz w:val="18"/>
      <w:szCs w:val="18"/>
    </w:rPr>
  </w:style>
  <w:style w:type="character" w:customStyle="1" w:styleId="13">
    <w:name w:val="页眉 Char"/>
    <w:link w:val="5"/>
    <w:qFormat/>
    <w:uiPriority w:val="0"/>
    <w:rPr>
      <w:kern w:val="2"/>
      <w:sz w:val="18"/>
      <w:szCs w:val="18"/>
    </w:rPr>
  </w:style>
  <w:style w:type="character" w:customStyle="1" w:styleId="14">
    <w:name w:val="批注主题 Char"/>
    <w:link w:val="6"/>
    <w:qFormat/>
    <w:uiPriority w:val="0"/>
    <w:rPr>
      <w:b/>
      <w:bCs/>
      <w:kern w:val="2"/>
      <w:sz w:val="21"/>
      <w:szCs w:val="24"/>
    </w:rPr>
  </w:style>
  <w:style w:type="paragraph" w:customStyle="1" w:styleId="15">
    <w:name w:val="WPSOffice手动目录 1"/>
    <w:qFormat/>
    <w:uiPriority w:val="0"/>
    <w:rPr>
      <w:rFonts w:ascii="Times New Roman" w:hAnsi="Times New Roman" w:eastAsia="宋体" w:cs="Times New Roman"/>
      <w:lang w:val="en-US" w:eastAsia="zh-CN" w:bidi="ar-SA"/>
    </w:rPr>
  </w:style>
  <w:style w:type="paragraph" w:customStyle="1" w:styleId="16">
    <w:name w:val="WPSOffice手动目录 2"/>
    <w:qFormat/>
    <w:uiPriority w:val="0"/>
    <w:pPr>
      <w:ind w:leftChars="200"/>
    </w:pPr>
    <w:rPr>
      <w:rFonts w:ascii="Times New Roman" w:hAnsi="Times New Roman" w:eastAsia="宋体" w:cs="Times New Roman"/>
      <w:lang w:val="en-US" w:eastAsia="zh-CN" w:bidi="ar-SA"/>
    </w:rPr>
  </w:style>
  <w:style w:type="paragraph" w:customStyle="1" w:styleId="17">
    <w:name w:val="正文1 Char Char Char"/>
    <w:basedOn w:val="1"/>
    <w:qFormat/>
    <w:uiPriority w:val="0"/>
    <w:pPr>
      <w:spacing w:line="360" w:lineRule="auto"/>
      <w:ind w:firstLine="200" w:firstLineChars="200"/>
    </w:pPr>
  </w:style>
  <w:style w:type="character" w:customStyle="1" w:styleId="18">
    <w:name w:val="15"/>
    <w:basedOn w:val="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1086</Words>
  <Characters>2053</Characters>
  <Lines>1</Lines>
  <Paragraphs>1</Paragraphs>
  <TotalTime>3</TotalTime>
  <ScaleCrop>false</ScaleCrop>
  <LinksUpToDate>false</LinksUpToDate>
  <CharactersWithSpaces>2089</CharactersWithSpaces>
  <Application>WPS Office_12.8.2.15283_F1E327BC-269C-435d-A152-05C5408002CA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2024-07-29T19:26:00Z</dcterms:created>
  <dc:creator>uos</dc:creator>
  <cp:lastModifiedBy>HUAWEI</cp:lastModifiedBy>
  <cp:lastPrinted>2023-08-08T16:58:00Z</cp:lastPrinted>
  <dcterms:modified xsi:type="dcterms:W3CDTF">2026-08-25T15:29:05Z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2052-12.8.2.15283</vt:lpwstr>
  </property>
  <property fmtid="{D5CDD505-2E9C-101B-9397-08002B2CF9AE}" pid="3" name="ICV">
    <vt:lpwstr>347B05A538F7A812333F796A0A7A7263_43</vt:lpwstr>
  </property>
  <property fmtid="{D5CDD505-2E9C-101B-9397-08002B2CF9AE}" pid="4" name="KSOTemplateDocerSaveRecord">
    <vt:lpwstr>eyJoZGlkIjoiY2VlZThlZDk5ZTQ4MTFjNGY3MjIxNTdiOWMzZmQwMWMiLCJ1c2VySWQiOiIyMzQ5MTc1OTYifQ==</vt:lpwstr>
  </property>
</Properties>
</file>