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海南省政府与社会资本合作中心</w:t>
      </w:r>
    </w:p>
    <w:p>
      <w:pPr>
        <w:spacing w:line="578" w:lineRule="exact"/>
        <w:jc w:val="center"/>
        <w:rPr>
          <w:rFonts w:hint="eastAsia" w:asciiTheme="majorEastAsia" w:hAnsiTheme="majorEastAsia" w:eastAsiaTheme="majorEastAsia" w:cstheme="majorEastAsia"/>
          <w:b/>
          <w:bCs/>
          <w:sz w:val="44"/>
          <w:szCs w:val="44"/>
        </w:rPr>
      </w:pPr>
      <w:bookmarkStart w:id="118" w:name="_GoBack"/>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部门</w:t>
      </w:r>
      <w:r>
        <w:rPr>
          <w:rFonts w:hint="eastAsia" w:asciiTheme="majorEastAsia" w:hAnsiTheme="majorEastAsia" w:eastAsiaTheme="majorEastAsia" w:cstheme="majorEastAsia"/>
          <w:b/>
          <w:bCs/>
          <w:sz w:val="44"/>
          <w:szCs w:val="44"/>
        </w:rPr>
        <w:t>决算公开报告</w:t>
      </w:r>
    </w:p>
    <w:bookmarkEnd w:id="118"/>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决算公开表</w:t>
      </w:r>
      <w:r>
        <w:rPr>
          <w:sz w:val="32"/>
          <w:szCs w:val="32"/>
        </w:rPr>
        <w:tab/>
      </w:r>
      <w:r>
        <w:rPr>
          <w:sz w:val="32"/>
          <w:szCs w:val="32"/>
        </w:rPr>
        <w:fldChar w:fldCharType="end"/>
      </w:r>
      <w:r>
        <w:rPr>
          <w:rFonts w:hint="eastAsia"/>
          <w:sz w:val="32"/>
          <w:szCs w:val="32"/>
        </w:rPr>
        <w:t>2</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决算情况说明</w:t>
      </w:r>
      <w:r>
        <w:rPr>
          <w:sz w:val="32"/>
          <w:szCs w:val="32"/>
        </w:rPr>
        <w:tab/>
      </w:r>
      <w:r>
        <w:rPr>
          <w:sz w:val="32"/>
          <w:szCs w:val="32"/>
        </w:rPr>
        <w:fldChar w:fldCharType="end"/>
      </w:r>
      <w:r>
        <w:rPr>
          <w:rFonts w:hint="eastAsia"/>
          <w:sz w:val="32"/>
          <w:szCs w:val="32"/>
        </w:rPr>
        <w:t>3</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6"/>
        <w:numPr>
          <w:ilvl w:val="0"/>
          <w:numId w:val="0"/>
        </w:numPr>
        <w:tabs>
          <w:tab w:val="right" w:leader="dot" w:pos="8306"/>
        </w:tabs>
        <w:spacing w:line="578" w:lineRule="exact"/>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七、</w:t>
      </w: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6"/>
        <w:numPr>
          <w:ilvl w:val="0"/>
          <w:numId w:val="0"/>
        </w:numPr>
        <w:tabs>
          <w:tab w:val="right" w:leader="dot" w:pos="8306"/>
        </w:tabs>
        <w:spacing w:line="578" w:lineRule="exact"/>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八、</w:t>
      </w: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6"/>
        <w:numPr>
          <w:ilvl w:val="0"/>
          <w:numId w:val="0"/>
        </w:numPr>
        <w:tabs>
          <w:tab w:val="right" w:leader="dot" w:pos="8306"/>
        </w:tabs>
        <w:spacing w:line="578" w:lineRule="exact"/>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十一、</w:t>
      </w:r>
      <w:r>
        <w:rPr>
          <w:rFonts w:hint="eastAsia" w:ascii="仿宋" w:hAnsi="仿宋" w:eastAsia="仿宋" w:cs="仿宋"/>
          <w:bCs/>
          <w:sz w:val="32"/>
          <w:szCs w:val="32"/>
        </w:rPr>
        <w:t>落实习惯过紧日子要求、保障重点支出情况说明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pPr>
        <w:pStyle w:val="15"/>
        <w:tabs>
          <w:tab w:val="right" w:leader="dot" w:pos="8306"/>
        </w:tabs>
        <w:spacing w:line="578" w:lineRule="exact"/>
        <w:rPr>
          <w:rFonts w:hint="eastAsia" w:ascii="黑体" w:hAnsi="ˎ̥" w:eastAsia="宋体"/>
          <w:b/>
          <w:sz w:val="32"/>
          <w:szCs w:val="32"/>
          <w:lang w:val="en-US" w:eastAsia="zh-CN"/>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r>
        <w:rPr>
          <w:sz w:val="32"/>
          <w:szCs w:val="32"/>
        </w:rPr>
        <w:fldChar w:fldCharType="end"/>
      </w:r>
      <w:bookmarkEnd w:id="0"/>
      <w:r>
        <w:rPr>
          <w:rFonts w:hint="eastAsia"/>
          <w:sz w:val="32"/>
          <w:szCs w:val="32"/>
          <w:lang w:val="en-US" w:eastAsia="zh-CN"/>
        </w:rPr>
        <w:t>6</w:t>
      </w:r>
    </w:p>
    <w:p>
      <w:pPr>
        <w:spacing w:line="578" w:lineRule="exact"/>
        <w:jc w:val="both"/>
        <w:rPr>
          <w:rFonts w:hint="eastAsia" w:ascii="黑体" w:hAnsi="ˎ̥" w:eastAsia="黑体"/>
          <w:sz w:val="32"/>
          <w:szCs w:val="32"/>
        </w:rPr>
      </w:pPr>
      <w:bookmarkStart w:id="1" w:name="_Toc10720_WPSOffice_Level1"/>
      <w:bookmarkStart w:id="2" w:name="_Toc32433_WPSOffice_Level1"/>
      <w:bookmarkStart w:id="3" w:name="_Toc10049_WPSOffice_Level1"/>
      <w:bookmarkStart w:id="4" w:name="_Toc22941_WPSOffice_Level1"/>
      <w:bookmarkStart w:id="5" w:name="_Toc1704_WPSOffice_Level1"/>
      <w:bookmarkStart w:id="6" w:name="_Toc23465_WPSOffice_Level1"/>
      <w:bookmarkStart w:id="7" w:name="_Toc24238_WPSOffice_Level2"/>
      <w:bookmarkStart w:id="8" w:name="_Toc14159_WPSOffice_Level2"/>
      <w:bookmarkStart w:id="9" w:name="_Toc20274_WPSOffice_Level2"/>
      <w:bookmarkStart w:id="10" w:name="_Toc26580_WPSOffice_Level2"/>
      <w:bookmarkStart w:id="11" w:name="_Toc20205_WPSOffice_Level2"/>
      <w:bookmarkStart w:id="12" w:name="_Toc32622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1"/>
      <w:bookmarkEnd w:id="2"/>
      <w:bookmarkEnd w:id="3"/>
      <w:bookmarkEnd w:id="4"/>
      <w:bookmarkEnd w:id="5"/>
      <w:bookmarkEnd w:id="6"/>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p>
      <w:p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End w:id="7"/>
      <w:r>
        <w:rPr>
          <w:rFonts w:hint="eastAsia" w:ascii="黑体" w:hAnsi="黑体" w:eastAsia="黑体" w:cs="黑体"/>
          <w:sz w:val="32"/>
          <w:szCs w:val="32"/>
        </w:rPr>
        <w:t>单位职责</w:t>
      </w:r>
      <w:bookmarkEnd w:id="8"/>
      <w:bookmarkEnd w:id="9"/>
      <w:bookmarkEnd w:id="10"/>
      <w:bookmarkEnd w:id="11"/>
      <w:bookmarkEnd w:id="12"/>
    </w:p>
    <w:p>
      <w:pPr>
        <w:spacing w:line="578" w:lineRule="exact"/>
        <w:ind w:firstLine="640" w:firstLineChars="200"/>
        <w:rPr>
          <w:rFonts w:hint="eastAsia" w:ascii="仿宋" w:hAnsi="仿宋" w:eastAsia="仿宋" w:cs="仿宋"/>
          <w:sz w:val="32"/>
          <w:szCs w:val="32"/>
        </w:rPr>
      </w:pPr>
      <w:bookmarkStart w:id="13" w:name="_Toc4833_WPSOffice_Level2"/>
      <w:bookmarkStart w:id="14" w:name="_Toc24474_WPSOffice_Level2"/>
      <w:bookmarkStart w:id="15" w:name="_Toc17796_WPSOffice_Level2"/>
      <w:bookmarkStart w:id="16" w:name="_Toc24059_WPSOffice_Level2"/>
      <w:bookmarkStart w:id="17" w:name="_Toc6572_WPSOffice_Level2"/>
      <w:r>
        <w:rPr>
          <w:rFonts w:hint="eastAsia" w:ascii="仿宋" w:hAnsi="仿宋" w:eastAsia="仿宋" w:cs="仿宋"/>
          <w:sz w:val="32"/>
          <w:szCs w:val="32"/>
        </w:rPr>
        <w:t>负责省级政府</w:t>
      </w:r>
      <w:r>
        <w:rPr>
          <w:rFonts w:hint="eastAsia" w:ascii="仿宋" w:hAnsi="仿宋" w:eastAsia="仿宋" w:cs="仿宋"/>
          <w:sz w:val="32"/>
          <w:szCs w:val="32"/>
          <w:lang w:eastAsia="zh-CN"/>
        </w:rPr>
        <w:t>和</w:t>
      </w:r>
      <w:r>
        <w:rPr>
          <w:rFonts w:hint="eastAsia" w:ascii="仿宋" w:hAnsi="仿宋" w:eastAsia="仿宋" w:cs="仿宋"/>
          <w:sz w:val="32"/>
          <w:szCs w:val="32"/>
        </w:rPr>
        <w:t>社会资本合作（简称PPP）政策制订、业务指导与宣传培训；研究建立激励机制，为省内PPP项目提供奖补支持；负责建立并维护省级PPP项目库，做好项目库动态管理与省级示范项目工作，筛选并组织申报国家示范项目；通过设立并监管海南省PPP融资支持基金等方式，为省内PPP项目提供多种方式的融资支持；建立并维护省级PPP咨询服务机构库，供市县政府PPP项目参考；承办上级主管部门交办的其他事项。</w:t>
      </w:r>
    </w:p>
    <w:p>
      <w:p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二、机构设置</w:t>
      </w:r>
      <w:bookmarkEnd w:id="13"/>
      <w:bookmarkEnd w:id="14"/>
      <w:bookmarkEnd w:id="15"/>
      <w:bookmarkEnd w:id="16"/>
      <w:bookmarkEnd w:id="17"/>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本单位内设机构：综合科。</w:t>
      </w:r>
    </w:p>
    <w:p>
      <w:pPr>
        <w:spacing w:line="578" w:lineRule="exact"/>
        <w:jc w:val="center"/>
        <w:rPr>
          <w:rFonts w:hint="eastAsia" w:ascii="黑体" w:hAnsi="ˎ̥" w:eastAsia="黑体"/>
          <w:sz w:val="32"/>
          <w:szCs w:val="32"/>
        </w:rPr>
      </w:pPr>
      <w:bookmarkStart w:id="18" w:name="_Toc6234_WPSOffice_Level1"/>
      <w:bookmarkStart w:id="19" w:name="_Toc15521_WPSOffice_Level1"/>
      <w:bookmarkStart w:id="20" w:name="_Toc30451_WPSOffice_Level1"/>
      <w:bookmarkStart w:id="21" w:name="_Toc28253_WPSOffice_Level1"/>
      <w:bookmarkStart w:id="22" w:name="_Toc30690_WPSOffice_Level1"/>
      <w:bookmarkStart w:id="23" w:name="_Toc8164_WPSOffice_Level1"/>
      <w:bookmarkStart w:id="24" w:name="_Toc32472_WPSOffice_Level2"/>
      <w:bookmarkStart w:id="25" w:name="_Toc6211_WPSOffice_Level2"/>
      <w:bookmarkStart w:id="26" w:name="_Toc8867_WPSOffice_Level2"/>
      <w:bookmarkStart w:id="27" w:name="_Toc32695_WPSOffice_Level2"/>
      <w:bookmarkStart w:id="28" w:name="_Toc4029_WPSOffice_Level2"/>
      <w:bookmarkStart w:id="29" w:name="_Toc11518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决算公开报表</w:t>
      </w:r>
      <w:bookmarkEnd w:id="18"/>
      <w:bookmarkEnd w:id="19"/>
      <w:bookmarkEnd w:id="20"/>
      <w:bookmarkEnd w:id="21"/>
      <w:bookmarkEnd w:id="22"/>
      <w:bookmarkEnd w:id="23"/>
    </w:p>
    <w:p>
      <w:pPr>
        <w:spacing w:line="578" w:lineRule="exact"/>
        <w:ind w:firstLine="645"/>
        <w:rPr>
          <w:rFonts w:hint="eastAsia" w:ascii="黑体" w:hAnsi="黑体" w:eastAsia="黑体" w:cs="黑体"/>
          <w:sz w:val="32"/>
          <w:szCs w:val="32"/>
        </w:rPr>
      </w:pPr>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4"/>
      <w:bookmarkEnd w:id="25"/>
      <w:bookmarkEnd w:id="26"/>
      <w:bookmarkEnd w:id="27"/>
      <w:bookmarkEnd w:id="28"/>
      <w:bookmarkEnd w:id="29"/>
    </w:p>
    <w:p>
      <w:pPr>
        <w:spacing w:line="578" w:lineRule="exact"/>
        <w:ind w:firstLine="645"/>
        <w:rPr>
          <w:rFonts w:hint="eastAsia" w:ascii="黑体" w:hAnsi="黑体" w:eastAsia="黑体" w:cs="黑体"/>
          <w:sz w:val="32"/>
          <w:szCs w:val="32"/>
        </w:rPr>
      </w:pPr>
      <w:bookmarkStart w:id="30" w:name="_Toc30334_WPSOffice_Level2"/>
      <w:bookmarkStart w:id="31" w:name="_Toc28622_WPSOffice_Level2"/>
      <w:bookmarkStart w:id="32" w:name="_Toc14349_WPSOffice_Level2"/>
      <w:bookmarkStart w:id="33" w:name="_Toc26621_WPSOffice_Level2"/>
      <w:bookmarkStart w:id="34" w:name="_Toc23139_WPSOffice_Level2"/>
      <w:bookmarkStart w:id="35" w:name="_Toc25608_WPSOffice_Level2"/>
      <w:r>
        <w:rPr>
          <w:rFonts w:hint="eastAsia" w:ascii="黑体" w:hAnsi="黑体" w:eastAsia="黑体" w:cs="黑体"/>
          <w:sz w:val="32"/>
          <w:szCs w:val="32"/>
        </w:rPr>
        <w:t>二、收入决算公开表</w:t>
      </w:r>
      <w:bookmarkEnd w:id="30"/>
      <w:bookmarkEnd w:id="31"/>
      <w:bookmarkEnd w:id="32"/>
      <w:bookmarkEnd w:id="33"/>
      <w:bookmarkEnd w:id="34"/>
      <w:bookmarkEnd w:id="35"/>
      <w:bookmarkStart w:id="36" w:name="_Toc14658_WPSOffice_Level2"/>
      <w:bookmarkStart w:id="37" w:name="_Toc17858_WPSOffice_Level2"/>
      <w:bookmarkStart w:id="38" w:name="_Toc5489_WPSOffice_Level2"/>
      <w:bookmarkStart w:id="39" w:name="_Toc3262_WPSOffice_Level2"/>
      <w:bookmarkStart w:id="40" w:name="_Toc17626_WPSOffice_Level2"/>
      <w:bookmarkStart w:id="41" w:name="_Toc13854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6"/>
      <w:bookmarkEnd w:id="37"/>
      <w:bookmarkEnd w:id="38"/>
      <w:bookmarkEnd w:id="39"/>
      <w:bookmarkEnd w:id="40"/>
      <w:bookmarkEnd w:id="41"/>
      <w:bookmarkStart w:id="42" w:name="_Toc21415_WPSOffice_Level2"/>
      <w:bookmarkStart w:id="43" w:name="_Toc7988_WPSOffice_Level2"/>
      <w:bookmarkStart w:id="44" w:name="_Toc23493_WPSOffice_Level2"/>
      <w:bookmarkStart w:id="45" w:name="_Toc4265_WPSOffice_Level2"/>
      <w:bookmarkStart w:id="46" w:name="_Toc13701_WPSOffice_Level2"/>
      <w:bookmarkStart w:id="47" w:name="_Toc23591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2"/>
      <w:bookmarkEnd w:id="43"/>
      <w:bookmarkEnd w:id="44"/>
      <w:bookmarkEnd w:id="45"/>
      <w:bookmarkEnd w:id="46"/>
      <w:bookmarkEnd w:id="47"/>
    </w:p>
    <w:p>
      <w:pPr>
        <w:spacing w:line="578" w:lineRule="exact"/>
        <w:ind w:firstLine="645"/>
        <w:rPr>
          <w:rFonts w:hint="eastAsia" w:ascii="黑体" w:hAnsi="黑体" w:eastAsia="黑体" w:cs="黑体"/>
          <w:sz w:val="32"/>
          <w:szCs w:val="32"/>
        </w:rPr>
      </w:pPr>
      <w:bookmarkStart w:id="48" w:name="_Toc25166_WPSOffice_Level2"/>
      <w:bookmarkStart w:id="49" w:name="_Toc23829_WPSOffice_Level2"/>
      <w:bookmarkStart w:id="50" w:name="_Toc22783_WPSOffice_Level2"/>
      <w:bookmarkStart w:id="51" w:name="_Toc7879_WPSOffice_Level2"/>
      <w:bookmarkStart w:id="52" w:name="_Toc2158_WPSOffice_Level2"/>
      <w:bookmarkStart w:id="53" w:name="_Toc13516_WPSOffice_Level2"/>
      <w:r>
        <w:rPr>
          <w:rFonts w:hint="eastAsia" w:ascii="黑体" w:hAnsi="黑体" w:eastAsia="黑体" w:cs="黑体"/>
          <w:sz w:val="32"/>
          <w:szCs w:val="32"/>
        </w:rPr>
        <w:t>五、一般公共预算财政拨款收入支出决算</w:t>
      </w:r>
      <w:bookmarkEnd w:id="48"/>
      <w:bookmarkEnd w:id="49"/>
      <w:bookmarkEnd w:id="50"/>
      <w:bookmarkEnd w:id="51"/>
      <w:r>
        <w:rPr>
          <w:rFonts w:hint="eastAsia" w:ascii="黑体" w:hAnsi="黑体" w:eastAsia="黑体" w:cs="黑体"/>
          <w:sz w:val="32"/>
          <w:szCs w:val="32"/>
        </w:rPr>
        <w:t>公开表</w:t>
      </w:r>
      <w:bookmarkEnd w:id="52"/>
      <w:bookmarkEnd w:id="53"/>
      <w:bookmarkStart w:id="54" w:name="_Toc8373_WPSOffice_Level2"/>
      <w:bookmarkStart w:id="55" w:name="_Toc5343_WPSOffice_Level2"/>
      <w:bookmarkStart w:id="56" w:name="_Toc17833_WPSOffice_Level2"/>
      <w:bookmarkStart w:id="57" w:name="_Toc25362_WPSOffice_Level2"/>
      <w:bookmarkStart w:id="58" w:name="_Toc2632_WPSOffice_Level2"/>
      <w:bookmarkStart w:id="59" w:name="_Toc17283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4"/>
      <w:bookmarkEnd w:id="55"/>
      <w:bookmarkEnd w:id="56"/>
      <w:bookmarkEnd w:id="57"/>
      <w:bookmarkEnd w:id="58"/>
      <w:bookmarkEnd w:id="59"/>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bookmarkStart w:id="60" w:name="_Toc6020_WPSOffice_Level2"/>
      <w:bookmarkStart w:id="61" w:name="_Toc13345_WPSOffice_Level2"/>
      <w:bookmarkStart w:id="62" w:name="_Toc21310_WPSOffice_Level2"/>
      <w:bookmarkStart w:id="63" w:name="_Toc5594_WPSOffice_Level2"/>
      <w:bookmarkStart w:id="64" w:name="_Toc11799_WPSOffice_Level2"/>
      <w:bookmarkStart w:id="65" w:name="_Toc1533_WPSOffice_Level2"/>
      <w:r>
        <w:rPr>
          <w:rFonts w:hint="eastAsia" w:ascii="黑体" w:hAnsi="黑体" w:eastAsia="黑体" w:cs="黑体"/>
          <w:sz w:val="32"/>
          <w:szCs w:val="32"/>
        </w:rPr>
        <w:t>七、政府性基金预算财政拨款收入支出决算</w:t>
      </w:r>
      <w:bookmarkEnd w:id="60"/>
      <w:bookmarkEnd w:id="61"/>
      <w:bookmarkEnd w:id="62"/>
      <w:bookmarkEnd w:id="63"/>
      <w:bookmarkEnd w:id="64"/>
      <w:bookmarkEnd w:id="65"/>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spacing w:line="578" w:lineRule="exact"/>
        <w:ind w:firstLine="640"/>
        <w:rPr>
          <w:rFonts w:hint="eastAsia" w:ascii="黑体" w:hAnsi="黑体" w:eastAsia="黑体" w:cs="黑体"/>
          <w:sz w:val="32"/>
          <w:szCs w:val="32"/>
        </w:rPr>
      </w:pPr>
      <w:bookmarkStart w:id="66" w:name="_Toc29886_WPSOffice_Level2"/>
      <w:bookmarkStart w:id="67" w:name="_Toc1820_WPSOffice_Level2"/>
      <w:bookmarkStart w:id="68" w:name="_Toc19961_WPSOffice_Level2"/>
      <w:bookmarkStart w:id="69" w:name="_Toc9377_WPSOffice_Level2"/>
      <w:r>
        <w:rPr>
          <w:rFonts w:hint="eastAsia" w:ascii="黑体" w:hAnsi="黑体" w:eastAsia="黑体" w:cs="黑体"/>
          <w:sz w:val="32"/>
          <w:szCs w:val="32"/>
        </w:rPr>
        <w:t>九、财政拨款“三公”经费支出决算</w:t>
      </w:r>
      <w:bookmarkEnd w:id="66"/>
      <w:bookmarkEnd w:id="67"/>
      <w:bookmarkEnd w:id="68"/>
      <w:bookmarkEnd w:id="69"/>
      <w:r>
        <w:rPr>
          <w:rFonts w:hint="eastAsia" w:ascii="黑体" w:hAnsi="黑体" w:eastAsia="黑体" w:cs="黑体"/>
          <w:sz w:val="32"/>
          <w:szCs w:val="32"/>
        </w:rPr>
        <w:t>公开表</w:t>
      </w:r>
    </w:p>
    <w:p>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以上报表见附件</w:t>
      </w: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rPr>
        <w:t xml:space="preserve">。   </w:t>
      </w:r>
    </w:p>
    <w:p>
      <w:pPr>
        <w:spacing w:line="578" w:lineRule="exact"/>
        <w:rPr>
          <w:rFonts w:hint="eastAsia" w:ascii="黑体" w:hAnsi="黑体" w:eastAsia="黑体" w:cs="黑体"/>
          <w:sz w:val="32"/>
          <w:szCs w:val="32"/>
        </w:rPr>
      </w:pPr>
    </w:p>
    <w:p>
      <w:pPr>
        <w:spacing w:line="578" w:lineRule="exact"/>
        <w:jc w:val="center"/>
        <w:rPr>
          <w:rFonts w:hint="eastAsia" w:ascii="黑体" w:hAnsi="ˎ̥" w:eastAsia="黑体"/>
          <w:sz w:val="32"/>
          <w:szCs w:val="32"/>
        </w:rPr>
      </w:pPr>
      <w:bookmarkStart w:id="70" w:name="_Toc16686_WPSOffice_Level1"/>
      <w:bookmarkStart w:id="71" w:name="_Toc28629_WPSOffice_Level1"/>
      <w:bookmarkStart w:id="72" w:name="_Toc4402_WPSOffice_Level1"/>
      <w:bookmarkStart w:id="73" w:name="_Toc27590_WPSOffice_Level1"/>
      <w:bookmarkStart w:id="74" w:name="_Toc29683_WPSOffice_Level1"/>
      <w:bookmarkStart w:id="75" w:name="_Toc31264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决算情况说明</w:t>
      </w:r>
      <w:bookmarkEnd w:id="70"/>
      <w:bookmarkEnd w:id="71"/>
      <w:bookmarkEnd w:id="72"/>
      <w:bookmarkEnd w:id="73"/>
      <w:bookmarkEnd w:id="74"/>
      <w:bookmarkEnd w:id="75"/>
    </w:p>
    <w:p>
      <w:pPr>
        <w:spacing w:line="578" w:lineRule="exact"/>
        <w:jc w:val="center"/>
        <w:rPr>
          <w:rFonts w:hint="eastAsia" w:ascii="黑体" w:hAnsi="ˎ̥" w:eastAsia="黑体"/>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收入支出总体情况说明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sz w:val="32"/>
          <w:szCs w:val="32"/>
          <w:lang w:val="en-US"/>
        </w:rPr>
        <w:t>2025</w:t>
      </w:r>
      <w:r>
        <w:rPr>
          <w:rFonts w:hint="eastAsia" w:ascii="仿宋" w:hAnsi="仿宋" w:eastAsia="仿宋" w:cs="仿宋"/>
          <w:sz w:val="32"/>
          <w:szCs w:val="32"/>
        </w:rPr>
        <w:t>年度收入总</w:t>
      </w:r>
      <w:r>
        <w:rPr>
          <w:rFonts w:hint="eastAsia" w:ascii="仿宋" w:hAnsi="仿宋" w:eastAsia="仿宋" w:cs="仿宋"/>
          <w:color w:val="auto"/>
          <w:sz w:val="32"/>
          <w:szCs w:val="32"/>
        </w:rPr>
        <w:t>计</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年度相比，收入、支出总计各减少</w:t>
      </w:r>
      <w:r>
        <w:rPr>
          <w:rFonts w:hint="eastAsia" w:ascii="仿宋" w:hAnsi="仿宋" w:eastAsia="仿宋" w:cs="仿宋"/>
          <w:color w:val="auto"/>
          <w:sz w:val="32"/>
          <w:szCs w:val="32"/>
          <w:lang w:val="en-US" w:eastAsia="zh-CN"/>
        </w:rPr>
        <w:t>65.04</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79.22</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eastAsia="zh-CN"/>
        </w:rPr>
        <w:t>业务调整，单位已经撤销</w:t>
      </w:r>
      <w:r>
        <w:rPr>
          <w:rFonts w:hint="eastAsia" w:ascii="仿宋" w:hAnsi="仿宋" w:eastAsia="仿宋" w:cs="仿宋"/>
          <w:color w:val="auto"/>
          <w:sz w:val="32"/>
          <w:szCs w:val="32"/>
        </w:rPr>
        <w:t>。年初结转结余0</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万元，较202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年度决算数增加0</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万元。结余分配0</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万元，较202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年度决算数增加0</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万元。年末结转结余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万元，较202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年度决算数增加0</w:t>
      </w:r>
      <w:r>
        <w:rPr>
          <w:rFonts w:hint="eastAsia" w:ascii="仿宋" w:hAnsi="仿宋" w:eastAsia="仿宋" w:cs="仿宋"/>
          <w:color w:val="auto"/>
          <w:sz w:val="32"/>
          <w:szCs w:val="32"/>
          <w:lang w:val="en-US" w:eastAsia="zh-CN"/>
        </w:rPr>
        <w:t>.00</w:t>
      </w:r>
      <w:r>
        <w:rPr>
          <w:rFonts w:hint="eastAsia" w:ascii="仿宋" w:hAnsi="仿宋" w:eastAsia="仿宋" w:cs="仿宋"/>
          <w:color w:val="auto"/>
          <w:sz w:val="32"/>
          <w:szCs w:val="32"/>
        </w:rPr>
        <w:t>万元。</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年度相比，财政拨款收入</w:t>
      </w:r>
      <w:r>
        <w:rPr>
          <w:rFonts w:hint="eastAsia" w:ascii="仿宋" w:hAnsi="仿宋" w:eastAsia="仿宋" w:cs="仿宋"/>
          <w:color w:val="auto"/>
          <w:sz w:val="32"/>
          <w:szCs w:val="32"/>
          <w:lang w:eastAsia="zh-CN"/>
        </w:rPr>
        <w:t>、支出各</w:t>
      </w:r>
      <w:r>
        <w:rPr>
          <w:rFonts w:hint="eastAsia" w:ascii="仿宋" w:hAnsi="仿宋" w:eastAsia="仿宋" w:cs="仿宋"/>
          <w:color w:val="auto"/>
          <w:sz w:val="32"/>
          <w:szCs w:val="32"/>
        </w:rPr>
        <w:t>减少</w:t>
      </w:r>
      <w:r>
        <w:rPr>
          <w:rFonts w:hint="eastAsia" w:ascii="仿宋" w:hAnsi="仿宋" w:eastAsia="仿宋" w:cs="仿宋"/>
          <w:color w:val="auto"/>
          <w:sz w:val="32"/>
          <w:szCs w:val="32"/>
          <w:lang w:val="en-US" w:eastAsia="zh-CN"/>
        </w:rPr>
        <w:t>65.04</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79.22</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eastAsia="zh-CN"/>
        </w:rPr>
        <w:t>业务调整，单位已经撤销</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财政拨款年初结转结余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财政拨款年末结转结余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6" w:name="_Toc9989_WPSOffice_Level2"/>
      <w:bookmarkStart w:id="77" w:name="_Toc19665_WPSOffice_Level2"/>
      <w:bookmarkStart w:id="78" w:name="_Toc23005_WPSOffice_Level2"/>
      <w:bookmarkStart w:id="79" w:name="_Toc13694_WPSOffice_Level2"/>
      <w:bookmarkStart w:id="80" w:name="_Toc21737_WPSOffice_Level2"/>
      <w:bookmarkStart w:id="81" w:name="_Toc17398_WPSOffice_Level2"/>
      <w:r>
        <w:rPr>
          <w:rFonts w:hint="eastAsia" w:ascii="楷体" w:hAnsi="楷体" w:eastAsia="楷体" w:cs="楷体"/>
          <w:color w:val="auto"/>
          <w:sz w:val="32"/>
          <w:szCs w:val="32"/>
        </w:rPr>
        <w:t>（一）一般公共预算财政拨款支出决算总体情况</w:t>
      </w:r>
      <w:bookmarkEnd w:id="76"/>
      <w:bookmarkEnd w:id="77"/>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年度相比，一般公共预算财政拨款支减少</w:t>
      </w:r>
      <w:r>
        <w:rPr>
          <w:rFonts w:hint="eastAsia" w:ascii="仿宋" w:hAnsi="仿宋" w:eastAsia="仿宋" w:cs="仿宋"/>
          <w:color w:val="auto"/>
          <w:sz w:val="32"/>
          <w:szCs w:val="32"/>
          <w:lang w:val="en-US" w:eastAsia="zh-CN"/>
        </w:rPr>
        <w:t>65.04</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79.22</w:t>
      </w:r>
      <w:r>
        <w:rPr>
          <w:rFonts w:hint="eastAsia" w:ascii="仿宋" w:hAnsi="仿宋" w:eastAsia="仿宋" w:cs="仿宋"/>
          <w:color w:val="auto"/>
          <w:sz w:val="32"/>
          <w:szCs w:val="32"/>
        </w:rPr>
        <w:t>%，主要原因是</w:t>
      </w:r>
      <w:r>
        <w:rPr>
          <w:rFonts w:hint="eastAsia" w:ascii="仿宋" w:hAnsi="仿宋" w:eastAsia="仿宋" w:cs="仿宋"/>
          <w:color w:val="auto"/>
          <w:sz w:val="32"/>
          <w:szCs w:val="32"/>
          <w:lang w:eastAsia="zh-CN"/>
        </w:rPr>
        <w:t>业务调整，单位已经撤销</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2" w:name="_Toc23864_WPSOffice_Level2"/>
      <w:bookmarkStart w:id="83" w:name="_Toc19535_WPSOffice_Level2"/>
      <w:bookmarkStart w:id="84" w:name="_Toc2711_WPSOffice_Level2"/>
      <w:bookmarkStart w:id="85" w:name="_Toc27767_WPSOffice_Level2"/>
      <w:bookmarkStart w:id="86" w:name="_Toc19075_WPSOffice_Level2"/>
      <w:bookmarkStart w:id="87" w:name="_Toc18793_WPSOffice_Level2"/>
      <w:r>
        <w:rPr>
          <w:rFonts w:hint="eastAsia" w:ascii="楷体" w:hAnsi="楷体" w:eastAsia="楷体" w:cs="楷体"/>
          <w:color w:val="auto"/>
          <w:sz w:val="32"/>
          <w:szCs w:val="32"/>
        </w:rPr>
        <w:t>（二）一般公共预算财政拨款支出决算结构情况</w:t>
      </w:r>
      <w:bookmarkEnd w:id="82"/>
      <w:bookmarkEnd w:id="83"/>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万元，主要用于以下方面：</w:t>
      </w:r>
      <w:r>
        <w:rPr>
          <w:rFonts w:hint="eastAsia" w:ascii="仿宋" w:hAnsi="仿宋" w:eastAsia="仿宋" w:cs="仿宋"/>
          <w:b/>
          <w:color w:val="auto"/>
          <w:sz w:val="32"/>
          <w:szCs w:val="32"/>
        </w:rPr>
        <w:t>一般公共服务（类）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13.65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80.01</w:t>
      </w:r>
      <w:r>
        <w:rPr>
          <w:rFonts w:hint="eastAsia" w:ascii="仿宋" w:hAnsi="仿宋" w:eastAsia="仿宋" w:cs="仿宋"/>
          <w:color w:val="auto"/>
          <w:sz w:val="32"/>
          <w:szCs w:val="32"/>
        </w:rPr>
        <w:t>%；</w:t>
      </w:r>
      <w:r>
        <w:rPr>
          <w:rFonts w:hint="eastAsia" w:ascii="仿宋" w:hAnsi="仿宋" w:eastAsia="仿宋" w:cs="仿宋"/>
          <w:b/>
          <w:color w:val="auto"/>
          <w:sz w:val="32"/>
          <w:szCs w:val="32"/>
        </w:rPr>
        <w:t>社会保障和就业（类）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11.14</w:t>
      </w:r>
      <w:r>
        <w:rPr>
          <w:rFonts w:hint="eastAsia" w:ascii="仿宋" w:hAnsi="仿宋" w:eastAsia="仿宋" w:cs="仿宋"/>
          <w:color w:val="auto"/>
          <w:sz w:val="32"/>
          <w:szCs w:val="32"/>
        </w:rPr>
        <w:t>%；</w:t>
      </w:r>
      <w:r>
        <w:rPr>
          <w:rFonts w:hint="eastAsia" w:ascii="仿宋_GB2312" w:hAnsi="ˎ̥" w:eastAsia="仿宋_GB2312"/>
          <w:b/>
          <w:bCs/>
          <w:color w:val="auto"/>
          <w:sz w:val="32"/>
          <w:szCs w:val="32"/>
          <w:lang w:eastAsia="zh-CN"/>
        </w:rPr>
        <w:t>卫生健康</w:t>
      </w:r>
      <w:r>
        <w:rPr>
          <w:rFonts w:hint="eastAsia" w:ascii="仿宋_GB2312" w:hAnsi="ˎ̥" w:eastAsia="仿宋_GB2312"/>
          <w:b/>
          <w:bCs/>
          <w:color w:val="auto"/>
          <w:sz w:val="32"/>
          <w:szCs w:val="32"/>
          <w:lang w:val="en-US"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0.44</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2.58</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 w:hAnsi="仿宋" w:eastAsia="仿宋" w:cs="仿宋"/>
          <w:b/>
          <w:bCs/>
          <w:color w:val="auto"/>
          <w:sz w:val="32"/>
          <w:szCs w:val="32"/>
        </w:rPr>
        <w:t>住房保障（类）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1.08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6.33</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8" w:name="_Toc21701_WPSOffice_Level2"/>
      <w:bookmarkStart w:id="89" w:name="_Toc25136_WPSOffice_Level2"/>
      <w:bookmarkStart w:id="90" w:name="_Toc15415_WPSOffice_Level2"/>
      <w:bookmarkStart w:id="91" w:name="_Toc9502_WPSOffice_Level2"/>
      <w:bookmarkStart w:id="92" w:name="_Toc29364_WPSOffice_Level2"/>
      <w:bookmarkStart w:id="93" w:name="_Toc22318_WPSOffice_Level2"/>
      <w:r>
        <w:rPr>
          <w:rFonts w:hint="eastAsia" w:ascii="楷体" w:hAnsi="楷体" w:eastAsia="楷体" w:cs="楷体"/>
          <w:color w:val="auto"/>
          <w:sz w:val="32"/>
          <w:szCs w:val="32"/>
        </w:rPr>
        <w:t>（三）一般公共预算财政拨款支出决算具体情况</w:t>
      </w:r>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eastAsia" w:ascii="仿宋" w:hAnsi="仿宋" w:eastAsia="仿宋" w:cs="仿宋"/>
          <w:color w:val="auto"/>
          <w:sz w:val="32"/>
          <w:szCs w:val="32"/>
          <w:lang w:val="en-US" w:eastAsia="zh-CN"/>
        </w:rPr>
        <w:t>74.06</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23.04</w:t>
      </w:r>
      <w:r>
        <w:rPr>
          <w:rFonts w:hint="eastAsia" w:ascii="仿宋" w:hAnsi="仿宋" w:eastAsia="仿宋" w:cs="仿宋"/>
          <w:color w:val="auto"/>
          <w:sz w:val="32"/>
          <w:szCs w:val="32"/>
        </w:rPr>
        <w:t>%。其中：</w:t>
      </w:r>
    </w:p>
    <w:p>
      <w:pPr>
        <w:ind w:firstLine="64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lang w:val="en-US" w:eastAsia="zh-CN"/>
        </w:rPr>
        <w:t>1.</w:t>
      </w:r>
      <w:r>
        <w:rPr>
          <w:rFonts w:hint="eastAsia" w:ascii="仿宋" w:hAnsi="仿宋" w:eastAsia="仿宋" w:cs="仿宋"/>
          <w:b/>
          <w:bCs/>
          <w:color w:val="auto"/>
          <w:sz w:val="32"/>
          <w:szCs w:val="32"/>
          <w:highlight w:val="none"/>
        </w:rPr>
        <w:t>一</w:t>
      </w:r>
      <w:r>
        <w:rPr>
          <w:rFonts w:hint="eastAsia" w:ascii="仿宋" w:hAnsi="仿宋" w:eastAsia="仿宋" w:cs="仿宋"/>
          <w:b/>
          <w:color w:val="auto"/>
          <w:sz w:val="32"/>
          <w:szCs w:val="32"/>
          <w:highlight w:val="none"/>
        </w:rPr>
        <w:t>般公共服务（类）</w:t>
      </w:r>
      <w:r>
        <w:rPr>
          <w:rFonts w:hint="eastAsia" w:ascii="仿宋" w:hAnsi="仿宋" w:eastAsia="仿宋" w:cs="仿宋"/>
          <w:b/>
          <w:color w:val="auto"/>
          <w:sz w:val="32"/>
          <w:szCs w:val="32"/>
          <w:highlight w:val="none"/>
          <w:lang w:eastAsia="zh-CN"/>
        </w:rPr>
        <w:t>财政</w:t>
      </w:r>
      <w:r>
        <w:rPr>
          <w:rFonts w:hint="eastAsia" w:ascii="仿宋" w:hAnsi="仿宋" w:eastAsia="仿宋" w:cs="仿宋"/>
          <w:b/>
          <w:color w:val="auto"/>
          <w:sz w:val="32"/>
          <w:szCs w:val="32"/>
          <w:highlight w:val="none"/>
        </w:rPr>
        <w:t>事务（款）</w:t>
      </w:r>
      <w:r>
        <w:rPr>
          <w:rFonts w:hint="eastAsia" w:ascii="仿宋" w:hAnsi="仿宋" w:eastAsia="仿宋" w:cs="仿宋"/>
          <w:b/>
          <w:color w:val="auto"/>
          <w:sz w:val="32"/>
          <w:szCs w:val="32"/>
          <w:highlight w:val="none"/>
          <w:lang w:eastAsia="zh-CN"/>
        </w:rPr>
        <w:t>事业</w:t>
      </w:r>
      <w:r>
        <w:rPr>
          <w:rFonts w:hint="eastAsia" w:ascii="仿宋" w:hAnsi="仿宋" w:eastAsia="仿宋" w:cs="仿宋"/>
          <w:b/>
          <w:color w:val="auto"/>
          <w:sz w:val="32"/>
          <w:szCs w:val="32"/>
          <w:highlight w:val="none"/>
        </w:rPr>
        <w:t>运行（项）。</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58.39</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13.65</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23.38</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小于</w:t>
      </w:r>
      <w:r>
        <w:rPr>
          <w:rFonts w:hint="eastAsia" w:ascii="仿宋" w:hAnsi="仿宋" w:eastAsia="仿宋" w:cs="仿宋"/>
          <w:color w:val="auto"/>
          <w:sz w:val="32"/>
          <w:szCs w:val="32"/>
          <w:highlight w:val="none"/>
        </w:rPr>
        <w:t>预算数的主要原因：</w:t>
      </w:r>
      <w:r>
        <w:rPr>
          <w:rFonts w:hint="eastAsia" w:ascii="仿宋" w:hAnsi="仿宋" w:eastAsia="仿宋" w:cs="仿宋"/>
          <w:color w:val="auto"/>
          <w:sz w:val="32"/>
          <w:szCs w:val="32"/>
          <w:highlight w:val="none"/>
          <w:lang w:eastAsia="zh-CN"/>
        </w:rPr>
        <w:t>受业务变动影响，单位已经撤销，</w:t>
      </w:r>
      <w:r>
        <w:rPr>
          <w:rFonts w:hint="eastAsia" w:ascii="仿宋" w:hAnsi="仿宋" w:eastAsia="仿宋" w:cs="仿宋"/>
          <w:color w:val="auto"/>
          <w:sz w:val="32"/>
          <w:szCs w:val="32"/>
          <w:highlight w:val="none"/>
        </w:rPr>
        <w:t>因此</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导致一般公共服务支出减少。</w:t>
      </w:r>
    </w:p>
    <w:p>
      <w:pPr>
        <w:numPr>
          <w:ilvl w:val="0"/>
          <w:numId w:val="0"/>
        </w:numPr>
        <w:ind w:firstLine="64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社会保障和就业（类）</w:t>
      </w:r>
      <w:r>
        <w:rPr>
          <w:rFonts w:hint="eastAsia" w:ascii="仿宋" w:hAnsi="仿宋" w:eastAsia="仿宋" w:cs="仿宋"/>
          <w:b/>
          <w:color w:val="auto"/>
          <w:sz w:val="32"/>
          <w:szCs w:val="32"/>
          <w:highlight w:val="none"/>
          <w:lang w:eastAsia="zh-CN"/>
        </w:rPr>
        <w:t>行政事业单位养老</w:t>
      </w:r>
      <w:r>
        <w:rPr>
          <w:rFonts w:hint="eastAsia" w:ascii="仿宋" w:hAnsi="仿宋" w:eastAsia="仿宋" w:cs="仿宋"/>
          <w:b/>
          <w:color w:val="auto"/>
          <w:sz w:val="32"/>
          <w:szCs w:val="32"/>
          <w:highlight w:val="none"/>
        </w:rPr>
        <w:t>（款）机关事业单位基本养老保险缴费（项）。</w:t>
      </w:r>
    </w:p>
    <w:p>
      <w:pPr>
        <w:numPr>
          <w:ilvl w:val="0"/>
          <w:numId w:val="0"/>
        </w:numPr>
        <w:ind w:firstLine="640" w:firstLineChars="200"/>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5.83</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1.27</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21.74</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小于</w:t>
      </w:r>
      <w:r>
        <w:rPr>
          <w:rFonts w:hint="eastAsia" w:ascii="仿宋" w:hAnsi="仿宋" w:eastAsia="仿宋" w:cs="仿宋"/>
          <w:sz w:val="32"/>
          <w:szCs w:val="32"/>
          <w:highlight w:val="none"/>
        </w:rPr>
        <w:t>预算数的主要</w:t>
      </w:r>
      <w:r>
        <w:rPr>
          <w:rFonts w:hint="eastAsia" w:ascii="仿宋" w:hAnsi="仿宋" w:eastAsia="仿宋" w:cs="仿宋"/>
          <w:color w:val="auto"/>
          <w:sz w:val="32"/>
          <w:szCs w:val="32"/>
          <w:highlight w:val="none"/>
        </w:rPr>
        <w:t>原因：</w:t>
      </w:r>
      <w:r>
        <w:rPr>
          <w:rFonts w:hint="eastAsia" w:ascii="仿宋" w:hAnsi="仿宋" w:eastAsia="仿宋" w:cs="仿宋"/>
          <w:color w:val="auto"/>
          <w:sz w:val="32"/>
          <w:szCs w:val="32"/>
          <w:highlight w:val="none"/>
          <w:lang w:eastAsia="zh-CN"/>
        </w:rPr>
        <w:t>受业务变动影响，单位已经撤销</w:t>
      </w:r>
      <w:r>
        <w:rPr>
          <w:rFonts w:hint="eastAsia" w:ascii="仿宋" w:hAnsi="仿宋" w:eastAsia="仿宋" w:cs="仿宋"/>
          <w:color w:val="auto"/>
          <w:sz w:val="32"/>
          <w:szCs w:val="32"/>
          <w:highlight w:val="none"/>
          <w:lang w:val="zh-CN"/>
        </w:rPr>
        <w:t>。</w:t>
      </w:r>
    </w:p>
    <w:p>
      <w:pPr>
        <w:numPr>
          <w:ilvl w:val="0"/>
          <w:numId w:val="0"/>
        </w:numPr>
        <w:ind w:firstLine="642" w:firstLineChars="200"/>
        <w:rPr>
          <w:rFonts w:hint="eastAsia" w:ascii="仿宋" w:hAnsi="仿宋" w:eastAsia="仿宋" w:cs="仿宋"/>
          <w:color w:val="auto"/>
          <w:sz w:val="32"/>
          <w:szCs w:val="32"/>
          <w:highlight w:val="none"/>
          <w:lang w:val="zh-CN" w:eastAsia="zh-CN"/>
        </w:rPr>
      </w:pP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社会保障和就业（类）</w:t>
      </w:r>
      <w:r>
        <w:rPr>
          <w:rFonts w:hint="eastAsia" w:ascii="仿宋" w:hAnsi="仿宋" w:eastAsia="仿宋" w:cs="仿宋"/>
          <w:b/>
          <w:color w:val="auto"/>
          <w:sz w:val="32"/>
          <w:szCs w:val="32"/>
          <w:highlight w:val="none"/>
          <w:lang w:eastAsia="zh-CN"/>
        </w:rPr>
        <w:t>行政事业单位养老</w:t>
      </w:r>
      <w:r>
        <w:rPr>
          <w:rFonts w:hint="eastAsia" w:ascii="仿宋" w:hAnsi="仿宋" w:eastAsia="仿宋" w:cs="仿宋"/>
          <w:b/>
          <w:color w:val="auto"/>
          <w:sz w:val="32"/>
          <w:szCs w:val="32"/>
          <w:highlight w:val="none"/>
        </w:rPr>
        <w:t>（款）机关事业单位职业年金缴费（项）</w:t>
      </w:r>
      <w:r>
        <w:rPr>
          <w:rFonts w:hint="eastAsia" w:ascii="仿宋" w:hAnsi="仿宋" w:eastAsia="仿宋" w:cs="仿宋"/>
          <w:b/>
          <w:color w:val="auto"/>
          <w:sz w:val="32"/>
          <w:szCs w:val="32"/>
          <w:highlight w:val="none"/>
          <w:lang w:eastAsia="zh-CN"/>
        </w:rPr>
        <w:t>。</w:t>
      </w:r>
    </w:p>
    <w:p>
      <w:pPr>
        <w:numPr>
          <w:ilvl w:val="0"/>
          <w:numId w:val="0"/>
        </w:numPr>
        <w:ind w:firstLine="640" w:firstLineChars="200"/>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2.91</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0.63</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21.65</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小于</w:t>
      </w:r>
      <w:r>
        <w:rPr>
          <w:rFonts w:hint="eastAsia" w:ascii="仿宋" w:hAnsi="仿宋" w:eastAsia="仿宋" w:cs="仿宋"/>
          <w:sz w:val="32"/>
          <w:szCs w:val="32"/>
          <w:highlight w:val="none"/>
        </w:rPr>
        <w:t>预算数的主要</w:t>
      </w:r>
      <w:r>
        <w:rPr>
          <w:rFonts w:hint="eastAsia" w:ascii="仿宋" w:hAnsi="仿宋" w:eastAsia="仿宋" w:cs="仿宋"/>
          <w:color w:val="auto"/>
          <w:sz w:val="32"/>
          <w:szCs w:val="32"/>
          <w:highlight w:val="none"/>
        </w:rPr>
        <w:t>原因：</w:t>
      </w:r>
      <w:r>
        <w:rPr>
          <w:rFonts w:hint="eastAsia" w:ascii="仿宋" w:hAnsi="仿宋" w:eastAsia="仿宋" w:cs="仿宋"/>
          <w:color w:val="auto"/>
          <w:sz w:val="32"/>
          <w:szCs w:val="32"/>
          <w:highlight w:val="none"/>
          <w:lang w:eastAsia="zh-CN"/>
        </w:rPr>
        <w:t>受业务变动影响，单位已经撤销</w:t>
      </w:r>
      <w:r>
        <w:rPr>
          <w:rFonts w:hint="eastAsia" w:ascii="仿宋" w:hAnsi="仿宋" w:eastAsia="仿宋" w:cs="仿宋"/>
          <w:color w:val="auto"/>
          <w:sz w:val="32"/>
          <w:szCs w:val="32"/>
          <w:highlight w:val="none"/>
          <w:lang w:val="zh-CN"/>
        </w:rPr>
        <w:t>。</w:t>
      </w:r>
    </w:p>
    <w:p>
      <w:pPr>
        <w:numPr>
          <w:ilvl w:val="0"/>
          <w:numId w:val="0"/>
        </w:numPr>
        <w:ind w:firstLine="64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lang w:eastAsia="zh-CN"/>
        </w:rPr>
        <w:t>卫生健康</w:t>
      </w:r>
      <w:r>
        <w:rPr>
          <w:rFonts w:hint="eastAsia" w:ascii="仿宋" w:hAnsi="仿宋" w:eastAsia="仿宋" w:cs="仿宋"/>
          <w:b/>
          <w:color w:val="auto"/>
          <w:sz w:val="32"/>
          <w:szCs w:val="32"/>
          <w:highlight w:val="none"/>
        </w:rPr>
        <w:t>（类）</w:t>
      </w:r>
      <w:r>
        <w:rPr>
          <w:rFonts w:hint="eastAsia" w:ascii="仿宋" w:hAnsi="仿宋" w:eastAsia="仿宋" w:cs="仿宋"/>
          <w:b/>
          <w:color w:val="auto"/>
          <w:sz w:val="32"/>
          <w:szCs w:val="32"/>
          <w:highlight w:val="none"/>
          <w:lang w:eastAsia="zh-CN"/>
        </w:rPr>
        <w:t>行政事业单位医疗</w:t>
      </w:r>
      <w:r>
        <w:rPr>
          <w:rFonts w:hint="eastAsia" w:ascii="仿宋" w:hAnsi="仿宋" w:eastAsia="仿宋" w:cs="仿宋"/>
          <w:b/>
          <w:color w:val="auto"/>
          <w:sz w:val="32"/>
          <w:szCs w:val="32"/>
          <w:highlight w:val="none"/>
        </w:rPr>
        <w:t>（款）</w:t>
      </w:r>
      <w:r>
        <w:rPr>
          <w:rFonts w:hint="eastAsia" w:ascii="仿宋" w:hAnsi="仿宋" w:eastAsia="仿宋" w:cs="仿宋"/>
          <w:b/>
          <w:color w:val="auto"/>
          <w:sz w:val="32"/>
          <w:szCs w:val="32"/>
          <w:highlight w:val="none"/>
          <w:lang w:eastAsia="zh-CN"/>
        </w:rPr>
        <w:t>事业单位医疗</w:t>
      </w:r>
      <w:r>
        <w:rPr>
          <w:rFonts w:hint="eastAsia" w:ascii="仿宋" w:hAnsi="仿宋" w:eastAsia="仿宋" w:cs="仿宋"/>
          <w:b/>
          <w:color w:val="auto"/>
          <w:sz w:val="32"/>
          <w:szCs w:val="32"/>
          <w:highlight w:val="none"/>
        </w:rPr>
        <w:t>（项）。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1.88</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0.44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23.40</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小于</w:t>
      </w:r>
      <w:r>
        <w:rPr>
          <w:rFonts w:hint="eastAsia" w:ascii="仿宋" w:hAnsi="仿宋" w:eastAsia="仿宋" w:cs="仿宋"/>
          <w:color w:val="auto"/>
          <w:sz w:val="32"/>
          <w:szCs w:val="32"/>
          <w:highlight w:val="none"/>
        </w:rPr>
        <w:t>预算数的主要原因：</w:t>
      </w:r>
      <w:r>
        <w:rPr>
          <w:rFonts w:hint="eastAsia" w:ascii="仿宋" w:hAnsi="仿宋" w:eastAsia="仿宋" w:cs="仿宋"/>
          <w:color w:val="auto"/>
          <w:sz w:val="32"/>
          <w:szCs w:val="32"/>
          <w:highlight w:val="none"/>
          <w:lang w:eastAsia="zh-CN"/>
        </w:rPr>
        <w:t>受业务变动影响，单位已经撤销</w:t>
      </w:r>
      <w:r>
        <w:rPr>
          <w:rFonts w:hint="eastAsia" w:ascii="仿宋" w:hAnsi="仿宋" w:eastAsia="仿宋" w:cs="仿宋"/>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住房保障支出（类）住房改革支出（款）住房公积金（项）。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5.04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1.08</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21.43</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小于</w:t>
      </w:r>
      <w:r>
        <w:rPr>
          <w:rFonts w:hint="eastAsia" w:ascii="仿宋" w:hAnsi="仿宋" w:eastAsia="仿宋" w:cs="仿宋"/>
          <w:color w:val="auto"/>
          <w:sz w:val="32"/>
          <w:szCs w:val="32"/>
          <w:highlight w:val="none"/>
        </w:rPr>
        <w:t>预算数的主要原因：</w:t>
      </w:r>
      <w:r>
        <w:rPr>
          <w:rFonts w:hint="eastAsia" w:ascii="仿宋" w:hAnsi="仿宋" w:eastAsia="仿宋" w:cs="仿宋"/>
          <w:color w:val="auto"/>
          <w:sz w:val="32"/>
          <w:szCs w:val="32"/>
          <w:highlight w:val="none"/>
          <w:lang w:eastAsia="zh-CN"/>
        </w:rPr>
        <w:t>受业务变动影响，单位已经撤销</w:t>
      </w:r>
      <w:r>
        <w:rPr>
          <w:rFonts w:hint="eastAsia" w:ascii="仿宋" w:hAnsi="仿宋" w:eastAsia="仿宋" w:cs="仿宋"/>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17.06</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16.36</w:t>
      </w:r>
      <w:r>
        <w:rPr>
          <w:rFonts w:hint="eastAsia" w:ascii="仿宋" w:hAnsi="仿宋" w:eastAsia="仿宋" w:cs="仿宋"/>
          <w:color w:val="auto"/>
          <w:sz w:val="32"/>
          <w:szCs w:val="32"/>
        </w:rPr>
        <w:t>万元，主要包括：基本工资、津贴补贴、奖金、社会保障缴费、绩效工资、其他工资福利支出、医疗费、住房公积金等。公用经费</w:t>
      </w:r>
      <w:r>
        <w:rPr>
          <w:rFonts w:hint="eastAsia" w:ascii="仿宋" w:hAnsi="仿宋" w:eastAsia="仿宋" w:cs="仿宋"/>
          <w:color w:val="auto"/>
          <w:sz w:val="32"/>
          <w:szCs w:val="32"/>
          <w:lang w:val="en-US"/>
        </w:rPr>
        <w:t>0.70</w:t>
      </w:r>
      <w:r>
        <w:rPr>
          <w:rFonts w:hint="eastAsia" w:ascii="仿宋" w:hAnsi="仿宋" w:eastAsia="仿宋" w:cs="仿宋"/>
          <w:color w:val="auto"/>
          <w:sz w:val="32"/>
          <w:szCs w:val="32"/>
        </w:rPr>
        <w:t>万元，主要包括：邮电费、工会经费</w:t>
      </w:r>
      <w:r>
        <w:rPr>
          <w:rFonts w:hint="eastAsia" w:ascii="仿宋" w:hAnsi="仿宋" w:eastAsia="仿宋" w:cs="仿宋"/>
          <w:color w:val="auto"/>
          <w:sz w:val="32"/>
          <w:szCs w:val="32"/>
          <w:lang w:eastAsia="zh-CN"/>
        </w:rPr>
        <w:t>等</w:t>
      </w:r>
      <w:r>
        <w:rPr>
          <w:rFonts w:hint="eastAsia" w:ascii="仿宋" w:hAnsi="仿宋" w:eastAsia="仿宋" w:cs="仿宋"/>
          <w:color w:val="auto"/>
          <w:sz w:val="32"/>
          <w:szCs w:val="32"/>
          <w:highlight w:val="none"/>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pPr>
        <w:widowControl w:val="0"/>
        <w:wordWrap/>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lang w:val="en-US" w:eastAsia="zh-CN"/>
        </w:rPr>
        <w:t>2025年度本单位决算无此情况。</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lang w:val="en-US" w:eastAsia="zh-CN"/>
        </w:rPr>
      </w:pPr>
      <w:r>
        <w:rPr>
          <w:rFonts w:hint="eastAsia" w:ascii="仿宋" w:hAnsi="仿宋" w:eastAsia="仿宋" w:cs="仿宋"/>
          <w:color w:val="auto"/>
          <w:sz w:val="32"/>
          <w:lang w:val="en-US" w:eastAsia="zh-CN"/>
        </w:rPr>
        <w:t>2025年度本单位决算无此情况。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lang w:val="en-US" w:eastAsia="zh-CN"/>
        </w:rPr>
        <w:t>2025年度本单位决算无此情况。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w:t>
      </w:r>
      <w:r>
        <w:rPr>
          <w:rFonts w:hint="eastAsia" w:ascii="楷体" w:hAnsi="楷体" w:eastAsia="楷体" w:cs="楷体"/>
          <w:bCs/>
          <w:color w:val="auto"/>
          <w:sz w:val="32"/>
          <w:szCs w:val="32"/>
          <w:lang w:eastAsia="zh-CN"/>
        </w:rPr>
        <w:t>一</w:t>
      </w:r>
      <w:r>
        <w:rPr>
          <w:rFonts w:hint="eastAsia" w:ascii="楷体" w:hAnsi="楷体" w:eastAsia="楷体" w:cs="楷体"/>
          <w:bCs/>
          <w:color w:val="auto"/>
          <w:sz w:val="32"/>
          <w:szCs w:val="32"/>
        </w:rPr>
        <w:t>）</w:t>
      </w:r>
      <w:r>
        <w:rPr>
          <w:rFonts w:hint="eastAsia" w:ascii="楷体" w:hAnsi="楷体" w:eastAsia="楷体" w:cs="楷体"/>
          <w:bCs/>
          <w:color w:val="auto"/>
          <w:sz w:val="32"/>
          <w:szCs w:val="32"/>
          <w:lang w:eastAsia="zh-CN"/>
        </w:rPr>
        <w:t>单位</w:t>
      </w:r>
      <w:r>
        <w:rPr>
          <w:rFonts w:hint="eastAsia" w:ascii="楷体" w:hAnsi="楷体" w:eastAsia="楷体" w:cs="楷体"/>
          <w:bCs/>
          <w:color w:val="auto"/>
          <w:sz w:val="32"/>
          <w:szCs w:val="32"/>
        </w:rPr>
        <w:t>决算中项目绩效自评结果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lang w:val="en-US" w:eastAsia="zh-CN"/>
        </w:rPr>
        <w:t>2025年度本单位决算无此情况</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w:t>
      </w:r>
      <w:r>
        <w:rPr>
          <w:rFonts w:hint="eastAsia" w:ascii="楷体" w:hAnsi="楷体" w:eastAsia="楷体" w:cs="楷体"/>
          <w:bCs/>
          <w:color w:val="auto"/>
          <w:sz w:val="32"/>
          <w:szCs w:val="32"/>
          <w:lang w:eastAsia="zh-CN"/>
        </w:rPr>
        <w:t>二</w:t>
      </w:r>
      <w:r>
        <w:rPr>
          <w:rFonts w:hint="eastAsia" w:ascii="楷体" w:hAnsi="楷体" w:eastAsia="楷体" w:cs="楷体"/>
          <w:bCs/>
          <w:color w:val="auto"/>
          <w:sz w:val="32"/>
          <w:szCs w:val="32"/>
        </w:rPr>
        <w:t>）财政评价结果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lang w:val="en-US" w:eastAsia="zh-CN"/>
        </w:rPr>
        <w:t>2025年度本单位决算无此情况</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lang w:val="zh-CN"/>
        </w:rPr>
      </w:pPr>
      <w:r>
        <w:rPr>
          <w:rFonts w:hint="eastAsia" w:ascii="黑体" w:hAnsi="黑体" w:eastAsia="黑体" w:cs="黑体"/>
          <w:bCs/>
          <w:color w:val="auto"/>
          <w:sz w:val="32"/>
          <w:szCs w:val="32"/>
          <w:lang w:val="zh-CN"/>
        </w:rPr>
        <w:t>十一、落实习惯过紧日子要求、保障重点支出情况说明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按照党中央、国务院关于党政机关习惯过紧日子的有关要求，厉行节约办一切事业，严控一般性支出。同时坚持有保有压，优化支出结构，提高资金使用效率，合理保障基本支出等重点支出，体现在有关支出科目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94" w:name="_Toc5978_WPSOffice_Level2"/>
      <w:bookmarkStart w:id="95" w:name="_Toc15262_WPSOffice_Level2"/>
      <w:bookmarkStart w:id="96" w:name="_Toc18325_WPSOffice_Level2"/>
      <w:bookmarkStart w:id="97" w:name="_Toc23598_WPSOffice_Level2"/>
      <w:bookmarkStart w:id="98" w:name="_Toc32639_WPSOffice_Level2"/>
      <w:bookmarkStart w:id="99" w:name="_Toc15565_WPSOffice_Level2"/>
      <w:r>
        <w:rPr>
          <w:rFonts w:hint="eastAsia" w:ascii="楷体" w:hAnsi="楷体" w:eastAsia="楷体" w:cs="楷体"/>
          <w:bCs/>
          <w:color w:val="auto"/>
          <w:sz w:val="32"/>
          <w:szCs w:val="32"/>
        </w:rPr>
        <w:t>（一）机关运行经费支出情况</w:t>
      </w:r>
      <w:bookmarkEnd w:id="94"/>
      <w:bookmarkEnd w:id="95"/>
      <w:bookmarkEnd w:id="96"/>
      <w:bookmarkEnd w:id="97"/>
      <w:bookmarkEnd w:id="98"/>
      <w:bookmarkEnd w:id="9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bookmarkStart w:id="100" w:name="_Toc25333_WPSOffice_Level2"/>
      <w:bookmarkStart w:id="101" w:name="_Toc32689_WPSOffice_Level2"/>
      <w:bookmarkStart w:id="102" w:name="_Toc3131_WPSOffice_Level2"/>
      <w:bookmarkStart w:id="103" w:name="_Toc13084_WPSOffice_Level2"/>
      <w:bookmarkStart w:id="104" w:name="_Toc30383_WPSOffice_Level2"/>
      <w:bookmarkStart w:id="105" w:name="_Toc23966_WPSOffice_Level2"/>
      <w:r>
        <w:rPr>
          <w:rFonts w:hint="eastAsia" w:ascii="仿宋" w:hAnsi="仿宋" w:eastAsia="仿宋" w:cs="仿宋"/>
          <w:color w:val="auto"/>
          <w:sz w:val="32"/>
          <w:lang w:val="en-US" w:eastAsia="zh-CN"/>
        </w:rPr>
        <w:t>2025年度本单位决算无此情况</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（二）政府采购支出情况</w:t>
      </w:r>
      <w:bookmarkEnd w:id="100"/>
      <w:bookmarkEnd w:id="101"/>
      <w:bookmarkEnd w:id="102"/>
      <w:bookmarkEnd w:id="103"/>
      <w:bookmarkEnd w:id="104"/>
      <w:bookmarkEnd w:id="105"/>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lang w:val="en-US" w:eastAsia="zh-CN"/>
        </w:rPr>
        <w:t>2025年度本单位决算无此情况</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6" w:name="_Toc6016_WPSOffice_Level2"/>
      <w:bookmarkStart w:id="107" w:name="_Toc527_WPSOffice_Level2"/>
      <w:bookmarkStart w:id="108" w:name="_Toc19989_WPSOffice_Level2"/>
      <w:bookmarkStart w:id="109" w:name="_Toc10902_WPSOffice_Level2"/>
      <w:bookmarkStart w:id="110" w:name="_Toc15129_WPSOffice_Level2"/>
      <w:bookmarkStart w:id="111" w:name="_Toc29584_WPSOffice_Level2"/>
      <w:r>
        <w:rPr>
          <w:rFonts w:hint="eastAsia" w:ascii="楷体" w:hAnsi="楷体" w:eastAsia="楷体" w:cs="楷体"/>
          <w:bCs/>
          <w:sz w:val="32"/>
          <w:szCs w:val="32"/>
        </w:rPr>
        <w:t>（三）国有资产占用情况</w:t>
      </w:r>
      <w:bookmarkEnd w:id="106"/>
      <w:bookmarkEnd w:id="107"/>
      <w:bookmarkEnd w:id="108"/>
      <w:bookmarkEnd w:id="109"/>
      <w:bookmarkEnd w:id="110"/>
      <w:bookmarkEnd w:id="111"/>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lang w:val="en-US" w:eastAsia="zh-CN"/>
        </w:rPr>
        <w:t>2025年度本单位决算无此情况</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bookmarkStart w:id="112" w:name="_Toc4398_WPSOffice_Level1"/>
      <w:bookmarkStart w:id="113" w:name="_Toc8874_WPSOffice_Level1"/>
      <w:bookmarkStart w:id="114" w:name="_Toc8808_WPSOffice_Level1"/>
      <w:bookmarkStart w:id="115" w:name="_Toc15425_WPSOffice_Level1"/>
      <w:bookmarkStart w:id="116" w:name="_Toc17580_WPSOffice_Level1"/>
      <w:bookmarkStart w:id="117" w:name="_Toc11039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2"/>
      <w:bookmarkEnd w:id="113"/>
      <w:bookmarkEnd w:id="114"/>
      <w:bookmarkEnd w:id="115"/>
      <w:bookmarkEnd w:id="116"/>
      <w:bookmarkEnd w:id="117"/>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、公务用车购置及运行维护费和公务接待费。其中，因公出国（境）费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一般公共服务（类）财政事务（款）事业运行（项）</w:t>
      </w:r>
      <w:r>
        <w:rPr>
          <w:rFonts w:hint="eastAsia" w:ascii="仿宋" w:hAnsi="仿宋" w:eastAsia="仿宋" w:cs="仿宋"/>
          <w:sz w:val="32"/>
          <w:szCs w:val="32"/>
          <w:highlight w:val="none"/>
          <w:lang w:val="en-US" w:eastAsia="zh-CN"/>
        </w:rPr>
        <w:t>:反映事业单位的基本支出，不包括行政单位（包括实行公务员管理的事业单位）后勤服务中心、医务室等附属事业单位</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社会保障和就业（类）行政事业单位养老（款）机关事业单位基本养老保险缴费（项）</w:t>
      </w:r>
      <w:r>
        <w:rPr>
          <w:rFonts w:hint="eastAsia" w:ascii="仿宋" w:hAnsi="仿宋" w:eastAsia="仿宋" w:cs="仿宋"/>
          <w:sz w:val="32"/>
          <w:szCs w:val="32"/>
          <w:highlight w:val="none"/>
          <w:lang w:eastAsia="zh-CN"/>
        </w:rPr>
        <w:t>：反映机关事业单位实施养老保险制度由单位缴纳的基本养老保险费支出。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社会保障和就业（类）行政事业单位养老（款）机关事业单位职业年金缴费（项）：反映机关事业单位实施养老保险制度由单位实际缴纳的职业年金支出（含职业年金补记支出）。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卫生健康（类）行政事业单位医疗（款）事业单位医疗（项）：反映财政部门安排的事业单位基本医疗保险缴费经费，未参加医疗保险的事业单位的公费医疗经费，按国家规定享受离休人员待遇的医疗经费。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ˎ̥">
    <w:altName w:val="汉仪新人文宋简"/>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Fonts w:hint="eastAsia" w:ascii="宋体" w:hAnsi="宋体" w:eastAsia="宋体" w:cs="宋体"/>
        <w:sz w:val="28"/>
        <w:szCs w:val="28"/>
      </w:rPr>
    </w:pP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9"/>
        <w:rFonts w:hint="eastAsia" w:ascii="宋体" w:hAnsi="宋体" w:eastAsia="宋体" w:cs="宋体"/>
        <w:sz w:val="28"/>
        <w:szCs w:val="28"/>
      </w:rPr>
      <w:t>18</w:t>
    </w:r>
    <w:r>
      <w:rPr>
        <w:rFonts w:hint="eastAsia" w:ascii="宋体" w:hAnsi="宋体" w:eastAsia="宋体" w:cs="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E7ABA8A"/>
    <w:multiLevelType w:val="singleLevel"/>
    <w:tmpl w:val="DE7ABA8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F0D0E98"/>
    <w:rsid w:val="0F5B4403"/>
    <w:rsid w:val="0F64775C"/>
    <w:rsid w:val="0FC80124"/>
    <w:rsid w:val="106D0892"/>
    <w:rsid w:val="136F98C7"/>
    <w:rsid w:val="13CC1D73"/>
    <w:rsid w:val="17427E68"/>
    <w:rsid w:val="1755065F"/>
    <w:rsid w:val="17F378CF"/>
    <w:rsid w:val="1AFC29C9"/>
    <w:rsid w:val="1CA52F2E"/>
    <w:rsid w:val="1E3630B9"/>
    <w:rsid w:val="1E766B63"/>
    <w:rsid w:val="22FB1D2D"/>
    <w:rsid w:val="24013373"/>
    <w:rsid w:val="26EEC2B5"/>
    <w:rsid w:val="29472309"/>
    <w:rsid w:val="2B406E77"/>
    <w:rsid w:val="2BF67536"/>
    <w:rsid w:val="2C2A0C43"/>
    <w:rsid w:val="2C895B0F"/>
    <w:rsid w:val="2D1E73A5"/>
    <w:rsid w:val="2D984D48"/>
    <w:rsid w:val="2DAA682A"/>
    <w:rsid w:val="32717154"/>
    <w:rsid w:val="34B63260"/>
    <w:rsid w:val="37FDA7E2"/>
    <w:rsid w:val="389D2A9B"/>
    <w:rsid w:val="3A314D88"/>
    <w:rsid w:val="3A746883"/>
    <w:rsid w:val="3B2326C0"/>
    <w:rsid w:val="3C8A1D00"/>
    <w:rsid w:val="3CA15DE9"/>
    <w:rsid w:val="3D0F0457"/>
    <w:rsid w:val="3DFA2EB5"/>
    <w:rsid w:val="3FD02B45"/>
    <w:rsid w:val="3FE61EE5"/>
    <w:rsid w:val="406508EE"/>
    <w:rsid w:val="408D6263"/>
    <w:rsid w:val="41B40CEE"/>
    <w:rsid w:val="42834F1E"/>
    <w:rsid w:val="4489414C"/>
    <w:rsid w:val="45060392"/>
    <w:rsid w:val="46773AE2"/>
    <w:rsid w:val="48317291"/>
    <w:rsid w:val="484D5079"/>
    <w:rsid w:val="485F7024"/>
    <w:rsid w:val="4886486E"/>
    <w:rsid w:val="488F68F0"/>
    <w:rsid w:val="48C447EC"/>
    <w:rsid w:val="48E70666"/>
    <w:rsid w:val="4C6877E5"/>
    <w:rsid w:val="4D4E6D7A"/>
    <w:rsid w:val="4D6A468D"/>
    <w:rsid w:val="4EA86137"/>
    <w:rsid w:val="51DA7627"/>
    <w:rsid w:val="54AB6860"/>
    <w:rsid w:val="55384597"/>
    <w:rsid w:val="56031AB3"/>
    <w:rsid w:val="56B81EA5"/>
    <w:rsid w:val="56CA7FD0"/>
    <w:rsid w:val="57832294"/>
    <w:rsid w:val="57FA38D1"/>
    <w:rsid w:val="58174786"/>
    <w:rsid w:val="5A6A4AC7"/>
    <w:rsid w:val="5AB97EAE"/>
    <w:rsid w:val="5D9E1657"/>
    <w:rsid w:val="5DDBAD97"/>
    <w:rsid w:val="5F7D3333"/>
    <w:rsid w:val="601D7037"/>
    <w:rsid w:val="61385890"/>
    <w:rsid w:val="64CC0566"/>
    <w:rsid w:val="66CB4B3F"/>
    <w:rsid w:val="687436E1"/>
    <w:rsid w:val="694E0E8B"/>
    <w:rsid w:val="6A6B4546"/>
    <w:rsid w:val="6A8E20AF"/>
    <w:rsid w:val="6CDB6B48"/>
    <w:rsid w:val="6DA45C50"/>
    <w:rsid w:val="6E9A7825"/>
    <w:rsid w:val="6F670F9B"/>
    <w:rsid w:val="737450E0"/>
    <w:rsid w:val="74054476"/>
    <w:rsid w:val="742F38C4"/>
    <w:rsid w:val="74AB66DC"/>
    <w:rsid w:val="74C4154C"/>
    <w:rsid w:val="75956FFF"/>
    <w:rsid w:val="778D20C9"/>
    <w:rsid w:val="77AA2D01"/>
    <w:rsid w:val="783C4637"/>
    <w:rsid w:val="793C6888"/>
    <w:rsid w:val="7AD757CA"/>
    <w:rsid w:val="7CDE1DBD"/>
    <w:rsid w:val="7D943A85"/>
    <w:rsid w:val="7DB0448C"/>
    <w:rsid w:val="7E5F9AA4"/>
    <w:rsid w:val="8FFC8888"/>
    <w:rsid w:val="A7F73C99"/>
    <w:rsid w:val="BFFE3BF4"/>
    <w:rsid w:val="DB7CB9CE"/>
    <w:rsid w:val="DFEBDA37"/>
    <w:rsid w:val="E4ADBDD2"/>
    <w:rsid w:val="EF6FCA1D"/>
    <w:rsid w:val="EFFA0B79"/>
    <w:rsid w:val="EFFF57D6"/>
    <w:rsid w:val="FBB55168"/>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1086</Words>
  <Characters>2053</Characters>
  <Lines>67</Lines>
  <Paragraphs>18</Paragraphs>
  <TotalTime>13</TotalTime>
  <ScaleCrop>false</ScaleCrop>
  <LinksUpToDate>false</LinksUpToDate>
  <CharactersWithSpaces>2089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2024-07-26T03:26:00Z</dcterms:created>
  <dc:creator>uos</dc:creator>
  <cp:lastModifiedBy>uos</cp:lastModifiedBy>
  <cp:lastPrinted>2023-08-05T00:58:00Z</cp:lastPrinted>
  <dcterms:modified xsi:type="dcterms:W3CDTF">2026-08-26T15:46:56Z</dcterms:modified>
  <dc:title>海南省政府与社会资本合作中心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C640CEA36CBA43B9BF8A12D729CFC12C_13</vt:lpwstr>
  </property>
  <property fmtid="{D5CDD505-2E9C-101B-9397-08002B2CF9AE}" pid="4" name="KSOTemplateDocerSaveRecord">
    <vt:lpwstr>eyJoZGlkIjoiZmU2MjVlY2UwOTNjZThlMjA1YTdkMjE1NGYxYjYwYTIifQ==</vt:lpwstr>
  </property>
</Properties>
</file>