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50370">
      <w:pPr>
        <w:spacing w:line="578" w:lineRule="exact"/>
        <w:jc w:val="center"/>
        <w:rPr>
          <w:rFonts w:hint="eastAsia" w:ascii="宋体" w:hAnsi="宋体" w:eastAsia="宋体" w:cs="宋体"/>
          <w:b/>
          <w:bCs/>
          <w:color w:val="auto"/>
          <w:sz w:val="44"/>
          <w:szCs w:val="44"/>
        </w:rPr>
      </w:pPr>
      <w:bookmarkStart w:id="119" w:name="_GoBack"/>
      <w:bookmarkEnd w:id="119"/>
      <w:r>
        <w:rPr>
          <w:rFonts w:hint="eastAsia" w:ascii="宋体" w:hAnsi="宋体" w:eastAsia="宋体" w:cs="宋体"/>
          <w:b/>
          <w:bCs/>
          <w:color w:val="auto"/>
          <w:sz w:val="44"/>
          <w:szCs w:val="44"/>
        </w:rPr>
        <w:t>海南省财政科技服务中心</w:t>
      </w:r>
      <w:r>
        <w:rPr>
          <w:rFonts w:hint="default" w:ascii="宋体" w:hAnsi="宋体" w:eastAsia="宋体" w:cs="宋体"/>
          <w:b/>
          <w:bCs/>
          <w:color w:val="auto"/>
          <w:sz w:val="44"/>
          <w:szCs w:val="44"/>
          <w:lang w:val="en-US"/>
        </w:rPr>
        <w:t>2025</w:t>
      </w:r>
      <w:r>
        <w:rPr>
          <w:rFonts w:hint="eastAsia" w:ascii="宋体" w:hAnsi="宋体" w:eastAsia="宋体" w:cs="宋体"/>
          <w:b/>
          <w:bCs/>
          <w:color w:val="auto"/>
          <w:sz w:val="44"/>
          <w:szCs w:val="44"/>
        </w:rPr>
        <w:t>年度</w:t>
      </w:r>
    </w:p>
    <w:p w14:paraId="3892189B">
      <w:pPr>
        <w:spacing w:line="578" w:lineRule="exact"/>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rPr>
        <w:t>决算公开报告</w:t>
      </w:r>
    </w:p>
    <w:p w14:paraId="284ADCCC">
      <w:pPr>
        <w:spacing w:line="578" w:lineRule="exact"/>
        <w:jc w:val="center"/>
        <w:rPr>
          <w:rFonts w:hint="eastAsia" w:ascii="黑体" w:hAnsi="ˎ̥" w:eastAsia="黑体"/>
          <w:b/>
          <w:color w:val="auto"/>
          <w:sz w:val="32"/>
          <w:szCs w:val="32"/>
        </w:rPr>
      </w:pPr>
    </w:p>
    <w:p w14:paraId="156941DC">
      <w:pPr>
        <w:spacing w:line="578" w:lineRule="exact"/>
        <w:jc w:val="center"/>
        <w:rPr>
          <w:rFonts w:hint="eastAsia" w:ascii="黑体" w:hAnsi="黑体" w:eastAsia="黑体" w:cs="黑体"/>
          <w:color w:val="auto"/>
          <w:sz w:val="44"/>
          <w:szCs w:val="44"/>
        </w:rPr>
      </w:pPr>
      <w:bookmarkStart w:id="0" w:name="_Toc11440_WPSOffice_Type2"/>
      <w:r>
        <w:rPr>
          <w:rFonts w:hint="eastAsia" w:ascii="黑体" w:hAnsi="黑体" w:eastAsia="黑体" w:cs="黑体"/>
          <w:color w:val="auto"/>
          <w:sz w:val="44"/>
          <w:szCs w:val="44"/>
        </w:rPr>
        <w:t>目  录</w:t>
      </w:r>
    </w:p>
    <w:p w14:paraId="5FF7BB98">
      <w:pPr>
        <w:pStyle w:val="12"/>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_Toc1704_WPSOffice_Level1 </w:instrText>
      </w:r>
      <w:r>
        <w:rPr>
          <w:color w:val="auto"/>
          <w:sz w:val="32"/>
          <w:szCs w:val="32"/>
        </w:rPr>
        <w:fldChar w:fldCharType="separate"/>
      </w:r>
      <w:r>
        <w:rPr>
          <w:rFonts w:hint="eastAsia" w:ascii="黑体" w:hAnsi="ˎ̥" w:eastAsia="黑体"/>
          <w:color w:val="auto"/>
          <w:sz w:val="32"/>
          <w:szCs w:val="32"/>
        </w:rPr>
        <w:t>第一部分 基本情况</w:t>
      </w:r>
      <w:r>
        <w:rPr>
          <w:color w:val="auto"/>
          <w:sz w:val="32"/>
          <w:szCs w:val="32"/>
        </w:rPr>
        <w:tab/>
      </w:r>
      <w:r>
        <w:rPr>
          <w:color w:val="auto"/>
          <w:sz w:val="32"/>
          <w:szCs w:val="32"/>
        </w:rPr>
        <w:fldChar w:fldCharType="end"/>
      </w:r>
      <w:r>
        <w:rPr>
          <w:rFonts w:hint="eastAsia"/>
          <w:color w:val="auto"/>
          <w:sz w:val="32"/>
          <w:szCs w:val="32"/>
        </w:rPr>
        <w:t>2</w:t>
      </w:r>
    </w:p>
    <w:p w14:paraId="73CFE995">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_Toc20274_WPSOffice_Level2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一、单位职责</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1C4B1E93">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_Toc4833_WPSOffice_Level2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二、机构设置</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702D320D">
      <w:pPr>
        <w:pStyle w:val="12"/>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_Toc28253_WPSOffice_Level1 </w:instrText>
      </w:r>
      <w:r>
        <w:rPr>
          <w:color w:val="auto"/>
          <w:sz w:val="32"/>
          <w:szCs w:val="32"/>
        </w:rPr>
        <w:fldChar w:fldCharType="separate"/>
      </w: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w:t>
      </w:r>
      <w:r>
        <w:rPr>
          <w:rFonts w:hint="eastAsia" w:ascii="黑体" w:hAnsi="ˎ̥" w:eastAsia="黑体"/>
          <w:color w:val="auto"/>
          <w:sz w:val="32"/>
          <w:szCs w:val="32"/>
          <w:lang w:eastAsia="zh-CN"/>
        </w:rPr>
        <w:t>单位</w:t>
      </w:r>
      <w:r>
        <w:rPr>
          <w:rFonts w:hint="eastAsia" w:ascii="黑体" w:hAnsi="ˎ̥" w:eastAsia="黑体"/>
          <w:color w:val="auto"/>
          <w:sz w:val="32"/>
          <w:szCs w:val="32"/>
        </w:rPr>
        <w:t>决算公开表</w:t>
      </w:r>
      <w:r>
        <w:rPr>
          <w:color w:val="auto"/>
          <w:sz w:val="32"/>
          <w:szCs w:val="32"/>
        </w:rPr>
        <w:tab/>
      </w:r>
      <w:r>
        <w:rPr>
          <w:color w:val="auto"/>
          <w:sz w:val="32"/>
          <w:szCs w:val="32"/>
        </w:rPr>
        <w:fldChar w:fldCharType="end"/>
      </w:r>
      <w:r>
        <w:rPr>
          <w:rFonts w:hint="eastAsia"/>
          <w:color w:val="auto"/>
          <w:sz w:val="32"/>
          <w:szCs w:val="32"/>
        </w:rPr>
        <w:t>2</w:t>
      </w:r>
    </w:p>
    <w:p w14:paraId="3A5B9447">
      <w:pPr>
        <w:pStyle w:val="12"/>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_Toc27590_WPSOffice_Level1 </w:instrText>
      </w:r>
      <w:r>
        <w:rPr>
          <w:color w:val="auto"/>
          <w:sz w:val="32"/>
          <w:szCs w:val="32"/>
        </w:rPr>
        <w:fldChar w:fldCharType="separate"/>
      </w:r>
      <w:r>
        <w:rPr>
          <w:rFonts w:hint="eastAsia" w:ascii="黑体" w:hAnsi="黑体" w:eastAsia="黑体" w:cs="黑体"/>
          <w:color w:val="auto"/>
          <w:sz w:val="32"/>
          <w:szCs w:val="32"/>
        </w:rPr>
        <w:t>第三部分</w:t>
      </w:r>
      <w:r>
        <w:rPr>
          <w:rFonts w:hint="eastAsia"/>
          <w:color w:val="auto"/>
          <w:sz w:val="32"/>
          <w:szCs w:val="32"/>
        </w:rPr>
        <w:t xml:space="preserve">  </w:t>
      </w:r>
      <w:r>
        <w:rPr>
          <w:rFonts w:hint="default" w:ascii="黑体" w:hAnsi="ˎ̥" w:eastAsia="黑体"/>
          <w:color w:val="auto"/>
          <w:sz w:val="32"/>
          <w:szCs w:val="32"/>
          <w:lang w:val="en-US"/>
        </w:rPr>
        <w:t>2025</w:t>
      </w:r>
      <w:r>
        <w:rPr>
          <w:rFonts w:hint="eastAsia" w:ascii="黑体" w:hAnsi="ˎ̥" w:eastAsia="黑体"/>
          <w:color w:val="auto"/>
          <w:sz w:val="32"/>
          <w:szCs w:val="32"/>
        </w:rPr>
        <w:t>年度</w:t>
      </w:r>
      <w:r>
        <w:rPr>
          <w:rFonts w:hint="eastAsia" w:ascii="黑体" w:hAnsi="ˎ̥" w:eastAsia="黑体"/>
          <w:color w:val="auto"/>
          <w:sz w:val="32"/>
          <w:szCs w:val="32"/>
          <w:lang w:eastAsia="zh-CN"/>
        </w:rPr>
        <w:t>单位</w:t>
      </w:r>
      <w:r>
        <w:rPr>
          <w:rFonts w:hint="eastAsia" w:ascii="黑体" w:hAnsi="ˎ̥" w:eastAsia="黑体"/>
          <w:color w:val="auto"/>
          <w:sz w:val="32"/>
          <w:szCs w:val="32"/>
        </w:rPr>
        <w:t>决算情况说明</w:t>
      </w:r>
      <w:r>
        <w:rPr>
          <w:color w:val="auto"/>
          <w:sz w:val="32"/>
          <w:szCs w:val="32"/>
        </w:rPr>
        <w:tab/>
      </w:r>
      <w:r>
        <w:rPr>
          <w:color w:val="auto"/>
          <w:sz w:val="32"/>
          <w:szCs w:val="32"/>
        </w:rPr>
        <w:fldChar w:fldCharType="end"/>
      </w:r>
      <w:r>
        <w:rPr>
          <w:rFonts w:hint="eastAsia"/>
          <w:color w:val="auto"/>
          <w:sz w:val="32"/>
          <w:szCs w:val="32"/>
        </w:rPr>
        <w:t>3</w:t>
      </w:r>
    </w:p>
    <w:p w14:paraId="72D80528">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_Toc21737_WPSOffice_Level2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一、收入支出总体情况说明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3</w:t>
      </w:r>
    </w:p>
    <w:p w14:paraId="67A7470C">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二、收入决算情况说明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32E54DFC">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三、支出决算情况说明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5FB02C10">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四、财政拨款收入支出决算</w:t>
      </w:r>
      <w:r>
        <w:rPr>
          <w:rFonts w:hint="eastAsia" w:ascii="仿宋" w:hAnsi="仿宋" w:eastAsia="仿宋" w:cs="仿宋"/>
          <w:bCs/>
          <w:color w:val="auto"/>
          <w:sz w:val="32"/>
          <w:szCs w:val="32"/>
          <w:lang w:val="en-US" w:eastAsia="zh-CN"/>
        </w:rPr>
        <w:t>总体</w:t>
      </w:r>
      <w:r>
        <w:rPr>
          <w:rFonts w:hint="eastAsia" w:ascii="仿宋" w:hAnsi="仿宋" w:eastAsia="仿宋" w:cs="仿宋"/>
          <w:bCs/>
          <w:color w:val="auto"/>
          <w:sz w:val="32"/>
          <w:szCs w:val="32"/>
        </w:rPr>
        <w:t>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18E3FC31">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五、一般公共预算财政拨款支出决算情况说明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4</w:t>
      </w:r>
    </w:p>
    <w:p w14:paraId="36C7C730">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六、一般公共预算财政拨款基本支出决算情况说明</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ab/>
      </w:r>
      <w:r>
        <w:rPr>
          <w:rFonts w:hint="eastAsia" w:ascii="仿宋" w:hAnsi="仿宋" w:eastAsia="仿宋" w:cs="仿宋"/>
          <w:color w:val="auto"/>
          <w:sz w:val="32"/>
          <w:szCs w:val="32"/>
        </w:rPr>
        <w:t>6</w:t>
      </w:r>
    </w:p>
    <w:p w14:paraId="18565FA9">
      <w:pPr>
        <w:pStyle w:val="13"/>
        <w:numPr>
          <w:ilvl w:val="0"/>
          <w:numId w:val="0"/>
        </w:numPr>
        <w:tabs>
          <w:tab w:val="right" w:leader="dot" w:pos="8306"/>
        </w:tabs>
        <w:spacing w:line="578" w:lineRule="exact"/>
        <w:rPr>
          <w:rFonts w:hint="eastAsia" w:ascii="仿宋" w:hAnsi="仿宋" w:eastAsia="仿宋" w:cs="仿宋"/>
          <w:color w:val="auto"/>
          <w:sz w:val="32"/>
          <w:szCs w:val="32"/>
        </w:rPr>
      </w:pP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rPr>
        <w:t>政府性基金预算财政拨款支出决算情况说明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7</w:t>
      </w:r>
    </w:p>
    <w:p w14:paraId="677806AA">
      <w:pPr>
        <w:pStyle w:val="13"/>
        <w:numPr>
          <w:ilvl w:val="0"/>
          <w:numId w:val="0"/>
        </w:numPr>
        <w:tabs>
          <w:tab w:val="right" w:leader="dot" w:pos="8306"/>
        </w:tabs>
        <w:spacing w:line="578" w:lineRule="exact"/>
        <w:rPr>
          <w:rFonts w:hint="eastAsia" w:ascii="仿宋" w:hAnsi="仿宋" w:eastAsia="仿宋" w:cs="仿宋"/>
          <w:color w:val="auto"/>
          <w:sz w:val="32"/>
          <w:szCs w:val="32"/>
        </w:rPr>
      </w:pP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rPr>
        <w:t>国有资本经营预算财政拨款支出决算情况说明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7</w:t>
      </w:r>
    </w:p>
    <w:p w14:paraId="7311B4A0">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九、财政拨款“三公”经费支出决算情况说明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7</w:t>
      </w:r>
    </w:p>
    <w:p w14:paraId="187850BC">
      <w:pPr>
        <w:pStyle w:val="13"/>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十、预算绩效情况说明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8</w:t>
      </w:r>
    </w:p>
    <w:p w14:paraId="3B55B569">
      <w:pPr>
        <w:pStyle w:val="13"/>
        <w:numPr>
          <w:ilvl w:val="0"/>
          <w:numId w:val="0"/>
        </w:numPr>
        <w:tabs>
          <w:tab w:val="right" w:leader="dot" w:pos="8306"/>
        </w:tabs>
        <w:spacing w:line="578" w:lineRule="exact"/>
        <w:rPr>
          <w:rFonts w:hint="eastAsia" w:ascii="仿宋" w:hAnsi="仿宋" w:eastAsia="仿宋" w:cs="仿宋"/>
          <w:color w:val="auto"/>
          <w:sz w:val="32"/>
          <w:szCs w:val="32"/>
        </w:rPr>
      </w:pPr>
      <w:r>
        <w:rPr>
          <w:rFonts w:hint="eastAsia" w:ascii="仿宋" w:hAnsi="仿宋" w:eastAsia="仿宋" w:cs="仿宋"/>
          <w:bCs/>
          <w:color w:val="auto"/>
          <w:sz w:val="32"/>
          <w:szCs w:val="32"/>
          <w:lang w:val="en-US" w:eastAsia="zh-CN"/>
        </w:rPr>
        <w:t>十一、</w:t>
      </w:r>
      <w:r>
        <w:rPr>
          <w:rFonts w:hint="eastAsia" w:ascii="仿宋" w:hAnsi="仿宋" w:eastAsia="仿宋" w:cs="仿宋"/>
          <w:bCs/>
          <w:color w:val="auto"/>
          <w:sz w:val="32"/>
          <w:szCs w:val="32"/>
        </w:rPr>
        <w:t>落实习惯过紧日子要求、保障重点支出情况说明</w:t>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9</w:t>
      </w:r>
    </w:p>
    <w:p w14:paraId="696332CF">
      <w:pPr>
        <w:pStyle w:val="13"/>
        <w:tabs>
          <w:tab w:val="right" w:leader="dot" w:pos="8306"/>
        </w:tabs>
        <w:spacing w:line="578" w:lineRule="exact"/>
        <w:ind w:leftChars="0"/>
        <w:rPr>
          <w:rFonts w:hint="default" w:ascii="仿宋" w:hAnsi="仿宋" w:eastAsia="仿宋" w:cs="仿宋"/>
          <w:color w:val="auto"/>
          <w:sz w:val="32"/>
          <w:szCs w:val="32"/>
          <w:lang w:val="en-US"/>
        </w:rPr>
      </w:pPr>
      <w:r>
        <w:rPr>
          <w:rFonts w:hint="eastAsia" w:ascii="仿宋" w:hAnsi="仿宋" w:eastAsia="仿宋" w:cs="仿宋"/>
          <w:bCs/>
          <w:color w:val="auto"/>
          <w:sz w:val="32"/>
          <w:szCs w:val="32"/>
        </w:rPr>
        <w:t>十</w:t>
      </w:r>
      <w:r>
        <w:rPr>
          <w:rFonts w:hint="eastAsia" w:ascii="仿宋" w:hAnsi="仿宋" w:eastAsia="仿宋" w:cs="仿宋"/>
          <w:bCs/>
          <w:color w:val="auto"/>
          <w:sz w:val="32"/>
          <w:szCs w:val="32"/>
          <w:lang w:val="en-US" w:eastAsia="zh-CN"/>
        </w:rPr>
        <w:t>二</w:t>
      </w:r>
      <w:r>
        <w:rPr>
          <w:rFonts w:hint="eastAsia" w:ascii="仿宋" w:hAnsi="仿宋" w:eastAsia="仿宋" w:cs="仿宋"/>
          <w:bCs/>
          <w:color w:val="auto"/>
          <w:sz w:val="32"/>
          <w:szCs w:val="32"/>
        </w:rPr>
        <w:t>、其他重要事项情况说明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0</w:t>
      </w:r>
    </w:p>
    <w:p w14:paraId="349F29AA">
      <w:pPr>
        <w:pStyle w:val="12"/>
        <w:tabs>
          <w:tab w:val="right" w:leader="dot" w:pos="8306"/>
        </w:tabs>
        <w:spacing w:line="578" w:lineRule="exact"/>
        <w:rPr>
          <w:rFonts w:hint="eastAsia" w:ascii="黑体" w:hAnsi="ˎ̥"/>
          <w:b/>
          <w:color w:val="auto"/>
          <w:sz w:val="32"/>
          <w:szCs w:val="32"/>
        </w:rPr>
      </w:pPr>
      <w:r>
        <w:rPr>
          <w:color w:val="auto"/>
          <w:sz w:val="32"/>
          <w:szCs w:val="32"/>
        </w:rPr>
        <w:fldChar w:fldCharType="begin"/>
      </w:r>
      <w:r>
        <w:rPr>
          <w:color w:val="auto"/>
          <w:sz w:val="32"/>
          <w:szCs w:val="32"/>
        </w:rPr>
        <w:instrText xml:space="preserve"> HYPERLINK \l _Toc15425_WPSOffice_Level1 </w:instrText>
      </w:r>
      <w:r>
        <w:rPr>
          <w:color w:val="auto"/>
          <w:sz w:val="32"/>
          <w:szCs w:val="32"/>
        </w:rPr>
        <w:fldChar w:fldCharType="separate"/>
      </w:r>
      <w:r>
        <w:rPr>
          <w:rFonts w:hint="eastAsia" w:ascii="黑体" w:hAnsi="ˎ̥" w:eastAsia="黑体"/>
          <w:color w:val="auto"/>
          <w:sz w:val="32"/>
          <w:szCs w:val="32"/>
        </w:rPr>
        <w:t>第四部分  名词解释</w:t>
      </w:r>
      <w:r>
        <w:rPr>
          <w:color w:val="auto"/>
          <w:sz w:val="32"/>
          <w:szCs w:val="32"/>
        </w:rPr>
        <w:tab/>
      </w:r>
      <w:bookmarkStart w:id="1" w:name="_Toc15425_WPSOffice_Level1Page"/>
      <w:r>
        <w:rPr>
          <w:color w:val="auto"/>
          <w:sz w:val="32"/>
          <w:szCs w:val="32"/>
        </w:rPr>
        <w:t>1</w:t>
      </w:r>
      <w:bookmarkEnd w:id="1"/>
      <w:r>
        <w:rPr>
          <w:color w:val="auto"/>
          <w:sz w:val="32"/>
          <w:szCs w:val="32"/>
        </w:rPr>
        <w:fldChar w:fldCharType="end"/>
      </w:r>
      <w:bookmarkEnd w:id="0"/>
      <w:r>
        <w:rPr>
          <w:rFonts w:hint="eastAsia"/>
          <w:color w:val="auto"/>
          <w:sz w:val="32"/>
          <w:szCs w:val="32"/>
          <w:lang w:val="en-US" w:eastAsia="zh-CN"/>
        </w:rPr>
        <w:t>0</w:t>
      </w:r>
    </w:p>
    <w:p w14:paraId="0CE6D721">
      <w:pPr>
        <w:spacing w:line="578" w:lineRule="exact"/>
        <w:jc w:val="both"/>
        <w:rPr>
          <w:rFonts w:hint="eastAsia" w:ascii="黑体" w:hAnsi="ˎ̥" w:eastAsia="黑体"/>
          <w:color w:val="auto"/>
          <w:sz w:val="32"/>
          <w:szCs w:val="32"/>
        </w:rPr>
      </w:pPr>
      <w:bookmarkStart w:id="2" w:name="_Toc22941_WPSOffice_Level1"/>
      <w:bookmarkStart w:id="3" w:name="_Toc10049_WPSOffice_Level1"/>
      <w:bookmarkStart w:id="4" w:name="_Toc23465_WPSOffice_Level1"/>
      <w:bookmarkStart w:id="5" w:name="_Toc10720_WPSOffice_Level1"/>
      <w:bookmarkStart w:id="6" w:name="_Toc1704_WPSOffice_Level1"/>
      <w:bookmarkStart w:id="7" w:name="_Toc32433_WPSOffice_Level1"/>
      <w:bookmarkStart w:id="8" w:name="_Toc24238_WPSOffice_Level2"/>
      <w:bookmarkStart w:id="9" w:name="_Toc20274_WPSOffice_Level2"/>
      <w:bookmarkStart w:id="10" w:name="_Toc26580_WPSOffice_Level2"/>
      <w:bookmarkStart w:id="11" w:name="_Toc14159_WPSOffice_Level2"/>
      <w:bookmarkStart w:id="12" w:name="_Toc32622_WPSOffice_Level2"/>
      <w:bookmarkStart w:id="13" w:name="_Toc20205_WPSOffice_Level2"/>
    </w:p>
    <w:p w14:paraId="21D485ED">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第一部分  </w:t>
      </w:r>
      <w:bookmarkEnd w:id="2"/>
      <w:bookmarkEnd w:id="3"/>
      <w:bookmarkEnd w:id="4"/>
      <w:bookmarkEnd w:id="5"/>
      <w:bookmarkEnd w:id="6"/>
      <w:bookmarkEnd w:id="7"/>
      <w:r>
        <w:rPr>
          <w:rFonts w:hint="eastAsia" w:ascii="黑体" w:hAnsi="ˎ̥" w:eastAsia="黑体"/>
          <w:color w:val="auto"/>
          <w:sz w:val="32"/>
          <w:szCs w:val="32"/>
        </w:rPr>
        <w:t>基本情况</w:t>
      </w:r>
    </w:p>
    <w:p w14:paraId="078FACD3">
      <w:pPr>
        <w:spacing w:line="578" w:lineRule="exact"/>
        <w:ind w:firstLine="640" w:firstLineChars="200"/>
        <w:rPr>
          <w:rFonts w:hint="eastAsia" w:ascii="楷体" w:hAnsi="楷体" w:eastAsia="楷体" w:cs="楷体"/>
          <w:color w:val="auto"/>
          <w:sz w:val="32"/>
          <w:szCs w:val="32"/>
        </w:rPr>
      </w:pPr>
    </w:p>
    <w:p w14:paraId="5B37DA98">
      <w:p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一、</w:t>
      </w:r>
      <w:bookmarkEnd w:id="8"/>
      <w:r>
        <w:rPr>
          <w:rFonts w:hint="eastAsia" w:ascii="黑体" w:hAnsi="黑体" w:eastAsia="黑体" w:cs="黑体"/>
          <w:color w:val="auto"/>
          <w:sz w:val="32"/>
          <w:szCs w:val="32"/>
        </w:rPr>
        <w:t>单位职责</w:t>
      </w:r>
      <w:bookmarkEnd w:id="9"/>
      <w:bookmarkEnd w:id="10"/>
      <w:bookmarkEnd w:id="11"/>
      <w:bookmarkEnd w:id="12"/>
      <w:bookmarkEnd w:id="13"/>
    </w:p>
    <w:p w14:paraId="79C135D1">
      <w:pPr>
        <w:widowControl w:val="0"/>
        <w:numPr>
          <w:ilvl w:val="0"/>
          <w:numId w:val="0"/>
        </w:numPr>
        <w:wordWrap/>
        <w:adjustRightInd/>
        <w:snapToGrid/>
        <w:spacing w:line="52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（一）承担财政部门计算机信息化系统建设</w:t>
      </w:r>
      <w:r>
        <w:rPr>
          <w:rFonts w:hint="eastAsia" w:ascii="仿宋_GB2312" w:hAnsi="仿宋_GB2312" w:eastAsia="仿宋_GB2312" w:cs="仿宋_GB2312"/>
          <w:color w:val="auto"/>
          <w:sz w:val="32"/>
          <w:szCs w:val="32"/>
          <w:lang w:eastAsia="zh-CN"/>
        </w:rPr>
        <w:t>和运维等</w:t>
      </w:r>
      <w:r>
        <w:rPr>
          <w:rFonts w:hint="eastAsia" w:ascii="仿宋_GB2312" w:hAnsi="仿宋_GB2312" w:eastAsia="仿宋_GB2312" w:cs="仿宋_GB2312"/>
          <w:color w:val="auto"/>
          <w:sz w:val="32"/>
          <w:szCs w:val="32"/>
        </w:rPr>
        <w:t>工作，提供专用软件开发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应用培训等信息技术服务</w:t>
      </w:r>
      <w:r>
        <w:rPr>
          <w:rFonts w:hint="eastAsia" w:ascii="仿宋_GB2312" w:hAnsi="仿宋_GB2312" w:eastAsia="仿宋_GB2312" w:cs="仿宋_GB2312"/>
          <w:color w:val="auto"/>
          <w:sz w:val="32"/>
          <w:szCs w:val="32"/>
          <w:lang w:eastAsia="zh-CN"/>
        </w:rPr>
        <w:t>。</w:t>
      </w:r>
    </w:p>
    <w:p w14:paraId="0703E7BE">
      <w:pPr>
        <w:widowControl w:val="0"/>
        <w:numPr>
          <w:ilvl w:val="0"/>
          <w:numId w:val="0"/>
        </w:numPr>
        <w:wordWrap/>
        <w:adjustRightInd/>
        <w:snapToGrid/>
        <w:spacing w:line="52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承担全省财政业务应用系统的建设应用、网络安全保密、数据安全运行等工作</w:t>
      </w:r>
      <w:r>
        <w:rPr>
          <w:rFonts w:hint="eastAsia" w:ascii="仿宋_GB2312" w:hAnsi="仿宋_GB2312" w:eastAsia="仿宋_GB2312" w:cs="仿宋_GB2312"/>
          <w:color w:val="auto"/>
          <w:sz w:val="32"/>
          <w:szCs w:val="32"/>
          <w:lang w:eastAsia="zh-CN"/>
        </w:rPr>
        <w:t>。</w:t>
      </w:r>
    </w:p>
    <w:p w14:paraId="6DDA7FE8">
      <w:pPr>
        <w:widowControl w:val="0"/>
        <w:numPr>
          <w:ilvl w:val="0"/>
          <w:numId w:val="0"/>
        </w:numPr>
        <w:wordWrap/>
        <w:adjustRightInd/>
        <w:snapToGrid/>
        <w:spacing w:line="52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协助财政部门制定全省财政信息化规划设计实施方案</w:t>
      </w:r>
      <w:r>
        <w:rPr>
          <w:rFonts w:hint="eastAsia" w:ascii="仿宋_GB2312" w:hAnsi="仿宋_GB2312" w:eastAsia="仿宋_GB2312" w:cs="仿宋_GB2312"/>
          <w:color w:val="auto"/>
          <w:sz w:val="32"/>
          <w:szCs w:val="32"/>
          <w:lang w:eastAsia="zh-CN"/>
        </w:rPr>
        <w:t>。</w:t>
      </w:r>
    </w:p>
    <w:p w14:paraId="49EAB887">
      <w:pPr>
        <w:widowControl w:val="0"/>
        <w:numPr>
          <w:ilvl w:val="0"/>
          <w:numId w:val="0"/>
        </w:numPr>
        <w:wordWrap/>
        <w:adjustRightInd/>
        <w:snapToGrid/>
        <w:spacing w:line="52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承担财政专项监管</w:t>
      </w:r>
      <w:r>
        <w:rPr>
          <w:rFonts w:hint="eastAsia" w:ascii="仿宋_GB2312" w:hAnsi="仿宋_GB2312" w:eastAsia="仿宋_GB2312" w:cs="仿宋_GB2312"/>
          <w:color w:val="auto"/>
          <w:sz w:val="32"/>
          <w:szCs w:val="32"/>
          <w:highlight w:val="none"/>
          <w:lang w:val="en-US" w:eastAsia="zh-CN"/>
        </w:rPr>
        <w:t>系统的</w:t>
      </w:r>
      <w:r>
        <w:rPr>
          <w:rFonts w:hint="eastAsia" w:ascii="仿宋_GB2312" w:hAnsi="仿宋_GB2312" w:eastAsia="仿宋_GB2312" w:cs="仿宋_GB2312"/>
          <w:color w:val="auto"/>
          <w:sz w:val="32"/>
          <w:szCs w:val="32"/>
          <w:highlight w:val="none"/>
        </w:rPr>
        <w:t>建设</w:t>
      </w:r>
      <w:r>
        <w:rPr>
          <w:rFonts w:hint="eastAsia" w:ascii="仿宋_GB2312" w:hAnsi="仿宋_GB2312" w:eastAsia="仿宋_GB2312" w:cs="仿宋_GB2312"/>
          <w:color w:val="auto"/>
          <w:sz w:val="32"/>
          <w:szCs w:val="32"/>
          <w:highlight w:val="none"/>
          <w:lang w:val="en-US" w:eastAsia="zh-CN"/>
        </w:rPr>
        <w:t>与应用</w:t>
      </w:r>
      <w:r>
        <w:rPr>
          <w:rFonts w:hint="eastAsia" w:ascii="仿宋_GB2312" w:hAnsi="仿宋_GB2312" w:eastAsia="仿宋_GB2312" w:cs="仿宋_GB2312"/>
          <w:color w:val="auto"/>
          <w:sz w:val="32"/>
          <w:szCs w:val="32"/>
        </w:rPr>
        <w:t>，为财政资金运行监控预警和财政管理决策提供数据</w:t>
      </w:r>
      <w:r>
        <w:rPr>
          <w:rFonts w:hint="eastAsia" w:ascii="仿宋_GB2312" w:hAnsi="仿宋_GB2312" w:eastAsia="仿宋_GB2312" w:cs="仿宋_GB2312"/>
          <w:color w:val="auto"/>
          <w:sz w:val="32"/>
          <w:szCs w:val="32"/>
          <w:lang w:val="en-US" w:eastAsia="zh-CN"/>
        </w:rPr>
        <w:t>支持</w:t>
      </w:r>
      <w:r>
        <w:rPr>
          <w:rFonts w:hint="eastAsia" w:ascii="仿宋_GB2312" w:hAnsi="仿宋_GB2312" w:eastAsia="仿宋_GB2312" w:cs="仿宋_GB2312"/>
          <w:color w:val="auto"/>
          <w:sz w:val="32"/>
          <w:szCs w:val="32"/>
        </w:rPr>
        <w:t>服务</w:t>
      </w:r>
      <w:r>
        <w:rPr>
          <w:rFonts w:hint="eastAsia" w:ascii="仿宋_GB2312" w:hAnsi="仿宋_GB2312" w:eastAsia="仿宋_GB2312" w:cs="仿宋_GB2312"/>
          <w:color w:val="auto"/>
          <w:sz w:val="32"/>
          <w:szCs w:val="32"/>
          <w:lang w:eastAsia="zh-CN"/>
        </w:rPr>
        <w:t>。</w:t>
      </w:r>
    </w:p>
    <w:p w14:paraId="74837015">
      <w:pPr>
        <w:widowControl w:val="0"/>
        <w:numPr>
          <w:ilvl w:val="0"/>
          <w:numId w:val="0"/>
        </w:numPr>
        <w:wordWrap/>
        <w:adjustRightInd/>
        <w:snapToGrid/>
        <w:spacing w:line="52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承担组织财政系统的大数据、移动互联、物联网等新技术建设与应用工作，为现代财政制度改革提供技术支撑服务</w:t>
      </w:r>
      <w:r>
        <w:rPr>
          <w:rFonts w:hint="eastAsia" w:ascii="仿宋_GB2312" w:hAnsi="仿宋_GB2312" w:eastAsia="仿宋_GB2312" w:cs="仿宋_GB2312"/>
          <w:color w:val="auto"/>
          <w:sz w:val="32"/>
          <w:szCs w:val="32"/>
          <w:lang w:eastAsia="zh-CN"/>
        </w:rPr>
        <w:t>。</w:t>
      </w:r>
    </w:p>
    <w:p w14:paraId="7B77D75B">
      <w:pPr>
        <w:numPr>
          <w:ilvl w:val="0"/>
          <w:numId w:val="0"/>
        </w:numPr>
        <w:ind w:firstLine="0" w:firstLineChars="0"/>
        <w:rPr>
          <w:rFonts w:hint="eastAsia" w:ascii="仿宋_GB2312" w:hAnsi="ˎ̥"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六</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承办上级主管部门交办的其他工作。</w:t>
      </w:r>
    </w:p>
    <w:p w14:paraId="60E56611">
      <w:pPr>
        <w:spacing w:line="578" w:lineRule="exact"/>
        <w:ind w:firstLine="640" w:firstLineChars="200"/>
        <w:rPr>
          <w:rFonts w:hint="eastAsia" w:ascii="黑体" w:hAnsi="黑体" w:eastAsia="黑体" w:cs="黑体"/>
          <w:color w:val="auto"/>
          <w:sz w:val="32"/>
          <w:szCs w:val="32"/>
        </w:rPr>
      </w:pPr>
      <w:bookmarkStart w:id="14" w:name="_Toc24474_WPSOffice_Level2"/>
      <w:bookmarkStart w:id="15" w:name="_Toc6572_WPSOffice_Level2"/>
      <w:bookmarkStart w:id="16" w:name="_Toc24059_WPSOffice_Level2"/>
      <w:bookmarkStart w:id="17" w:name="_Toc17796_WPSOffice_Level2"/>
      <w:bookmarkStart w:id="18" w:name="_Toc4833_WPSOffice_Level2"/>
      <w:r>
        <w:rPr>
          <w:rFonts w:hint="eastAsia" w:ascii="黑体" w:hAnsi="黑体" w:eastAsia="黑体" w:cs="黑体"/>
          <w:color w:val="auto"/>
          <w:sz w:val="32"/>
          <w:szCs w:val="32"/>
        </w:rPr>
        <w:t>二、机构设置</w:t>
      </w:r>
      <w:bookmarkEnd w:id="14"/>
      <w:bookmarkEnd w:id="15"/>
      <w:bookmarkEnd w:id="16"/>
      <w:bookmarkEnd w:id="17"/>
      <w:bookmarkEnd w:id="18"/>
    </w:p>
    <w:p w14:paraId="3A4147D2">
      <w:pPr>
        <w:ind w:firstLine="640" w:firstLineChars="200"/>
        <w:rPr>
          <w:rFonts w:hint="eastAsia" w:ascii="仿宋_GB2312" w:hAnsi="仿宋_GB2312" w:eastAsia="仿宋_GB2312" w:cs="仿宋_GB2312"/>
          <w:b w:val="0"/>
          <w:bCs/>
          <w:color w:val="auto"/>
          <w:sz w:val="32"/>
          <w:szCs w:val="32"/>
          <w:lang w:val="en-US" w:eastAsia="zh-CN"/>
        </w:rPr>
      </w:pPr>
      <w:bookmarkStart w:id="19" w:name="_Toc28253_WPSOffice_Level1"/>
      <w:bookmarkStart w:id="20" w:name="_Toc8164_WPSOffice_Level1"/>
      <w:bookmarkStart w:id="21" w:name="_Toc15521_WPSOffice_Level1"/>
      <w:bookmarkStart w:id="22" w:name="_Toc30451_WPSOffice_Level1"/>
      <w:bookmarkStart w:id="23" w:name="_Toc6234_WPSOffice_Level1"/>
      <w:bookmarkStart w:id="24" w:name="_Toc30690_WPSOffice_Level1"/>
      <w:bookmarkStart w:id="25" w:name="_Toc32695_WPSOffice_Level2"/>
      <w:bookmarkStart w:id="26" w:name="_Toc6211_WPSOffice_Level2"/>
      <w:bookmarkStart w:id="27" w:name="_Toc11518_WPSOffice_Level2"/>
      <w:bookmarkStart w:id="28" w:name="_Toc4029_WPSOffice_Level2"/>
      <w:bookmarkStart w:id="29" w:name="_Toc8867_WPSOffice_Level2"/>
      <w:bookmarkStart w:id="30" w:name="_Toc32472_WPSOffice_Level2"/>
      <w:r>
        <w:rPr>
          <w:rFonts w:hint="eastAsia" w:ascii="仿宋_GB2312" w:hAnsi="仿宋_GB2312" w:eastAsia="仿宋_GB2312" w:cs="仿宋_GB2312"/>
          <w:b w:val="0"/>
          <w:bCs/>
          <w:color w:val="auto"/>
          <w:sz w:val="32"/>
          <w:szCs w:val="32"/>
          <w:highlight w:val="none"/>
          <w:lang w:val="en-US" w:eastAsia="zh-CN"/>
        </w:rPr>
        <w:t>内设综合科、信息科2个科级机构。</w:t>
      </w:r>
      <w:r>
        <w:rPr>
          <w:rFonts w:hint="eastAsia" w:ascii="仿宋_GB2312" w:hAnsi="仿宋_GB2312" w:eastAsia="仿宋_GB2312" w:cs="仿宋_GB2312"/>
          <w:color w:val="auto"/>
          <w:sz w:val="32"/>
          <w:szCs w:val="32"/>
          <w:lang w:val="en-US" w:eastAsia="zh-CN"/>
        </w:rPr>
        <w:t>核定财政预算管理</w:t>
      </w:r>
      <w:r>
        <w:rPr>
          <w:rFonts w:hint="eastAsia" w:ascii="仿宋_GB2312" w:hAnsi="仿宋_GB2312" w:eastAsia="仿宋_GB2312" w:cs="仿宋_GB2312"/>
          <w:b w:val="0"/>
          <w:bCs/>
          <w:color w:val="auto"/>
          <w:sz w:val="32"/>
          <w:szCs w:val="32"/>
          <w:lang w:val="en-US" w:eastAsia="zh-CN"/>
        </w:rPr>
        <w:t>事业编制10名。其中:</w:t>
      </w:r>
      <w:r>
        <w:rPr>
          <w:rFonts w:hint="eastAsia" w:ascii="仿宋_GB2312" w:hAnsi="仿宋_GB2312" w:eastAsia="仿宋_GB2312" w:cs="仿宋_GB2312"/>
          <w:b w:val="0"/>
          <w:bCs/>
          <w:color w:val="auto"/>
          <w:sz w:val="32"/>
          <w:szCs w:val="32"/>
          <w:highlight w:val="none"/>
          <w:lang w:val="en-US" w:eastAsia="zh-CN"/>
        </w:rPr>
        <w:t>单位领导职数2名</w:t>
      </w:r>
      <w:r>
        <w:rPr>
          <w:rFonts w:hint="eastAsia" w:ascii="仿宋_GB2312" w:eastAsia="仿宋_GB2312"/>
          <w:color w:val="auto"/>
          <w:sz w:val="32"/>
          <w:szCs w:val="32"/>
        </w:rPr>
        <w:t>（1</w:t>
      </w:r>
      <w:r>
        <w:rPr>
          <w:rFonts w:hint="eastAsia" w:ascii="仿宋_GB2312" w:eastAsia="仿宋_GB2312"/>
          <w:color w:val="auto"/>
          <w:sz w:val="32"/>
          <w:szCs w:val="32"/>
          <w:lang w:eastAsia="zh-CN"/>
        </w:rPr>
        <w:t>正</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副</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w:t>
      </w:r>
      <w:r>
        <w:rPr>
          <w:rFonts w:hint="eastAsia" w:ascii="仿宋_GB2312" w:hAnsi="仿宋_GB2312" w:eastAsia="仿宋_GB2312" w:cs="仿宋_GB2312"/>
          <w:b w:val="0"/>
          <w:bCs/>
          <w:color w:val="auto"/>
          <w:sz w:val="32"/>
          <w:szCs w:val="32"/>
          <w:highlight w:val="none"/>
          <w:lang w:val="en-US" w:eastAsia="zh-CN"/>
        </w:rPr>
        <w:t>内设机构科级领导职数2名,其他管理和专业技术岗位6名</w:t>
      </w:r>
      <w:r>
        <w:rPr>
          <w:rFonts w:hint="eastAsia" w:ascii="仿宋_GB2312" w:hAnsi="仿宋_GB2312" w:eastAsia="仿宋_GB2312" w:cs="仿宋_GB2312"/>
          <w:b w:val="0"/>
          <w:bCs/>
          <w:color w:val="auto"/>
          <w:sz w:val="32"/>
          <w:szCs w:val="32"/>
          <w:lang w:val="en-US" w:eastAsia="zh-CN"/>
        </w:rPr>
        <w:t>。</w:t>
      </w:r>
    </w:p>
    <w:p w14:paraId="7C4CD013">
      <w:pPr>
        <w:spacing w:line="578" w:lineRule="exact"/>
        <w:jc w:val="center"/>
        <w:rPr>
          <w:rFonts w:hint="eastAsia" w:ascii="黑体" w:hAnsi="ˎ̥" w:eastAsia="黑体"/>
          <w:color w:val="auto"/>
          <w:sz w:val="32"/>
          <w:szCs w:val="32"/>
        </w:rPr>
      </w:pPr>
    </w:p>
    <w:p w14:paraId="2E597797">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w:t>
      </w:r>
      <w:r>
        <w:rPr>
          <w:rFonts w:hint="eastAsia" w:ascii="黑体" w:hAnsi="ˎ̥" w:eastAsia="黑体"/>
          <w:color w:val="auto"/>
          <w:sz w:val="32"/>
          <w:szCs w:val="32"/>
          <w:lang w:eastAsia="zh-CN"/>
        </w:rPr>
        <w:t>单位</w:t>
      </w:r>
      <w:r>
        <w:rPr>
          <w:rFonts w:hint="eastAsia" w:ascii="黑体" w:hAnsi="ˎ̥" w:eastAsia="黑体"/>
          <w:color w:val="auto"/>
          <w:sz w:val="32"/>
          <w:szCs w:val="32"/>
        </w:rPr>
        <w:t>决算公开报表</w:t>
      </w:r>
      <w:bookmarkEnd w:id="19"/>
      <w:bookmarkEnd w:id="20"/>
      <w:bookmarkEnd w:id="21"/>
      <w:bookmarkEnd w:id="22"/>
      <w:bookmarkEnd w:id="23"/>
      <w:bookmarkEnd w:id="24"/>
    </w:p>
    <w:p w14:paraId="682C4036">
      <w:pPr>
        <w:spacing w:line="578" w:lineRule="exact"/>
        <w:ind w:firstLine="645"/>
        <w:rPr>
          <w:rFonts w:hint="eastAsia" w:ascii="黑体" w:hAnsi="黑体" w:eastAsia="黑体" w:cs="黑体"/>
          <w:color w:val="auto"/>
          <w:sz w:val="32"/>
          <w:szCs w:val="32"/>
        </w:rPr>
      </w:pPr>
    </w:p>
    <w:p w14:paraId="7BD9F3E8">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5"/>
      <w:bookmarkEnd w:id="26"/>
      <w:bookmarkEnd w:id="27"/>
      <w:bookmarkEnd w:id="28"/>
      <w:bookmarkEnd w:id="29"/>
      <w:bookmarkEnd w:id="30"/>
    </w:p>
    <w:p w14:paraId="1A945D56">
      <w:pPr>
        <w:spacing w:line="578" w:lineRule="exact"/>
        <w:ind w:firstLine="645"/>
        <w:rPr>
          <w:rFonts w:hint="eastAsia" w:ascii="黑体" w:hAnsi="黑体" w:eastAsia="黑体" w:cs="黑体"/>
          <w:color w:val="auto"/>
          <w:sz w:val="32"/>
          <w:szCs w:val="32"/>
        </w:rPr>
      </w:pPr>
      <w:bookmarkStart w:id="31" w:name="_Toc23139_WPSOffice_Level2"/>
      <w:bookmarkStart w:id="32" w:name="_Toc28622_WPSOffice_Level2"/>
      <w:bookmarkStart w:id="33" w:name="_Toc26621_WPSOffice_Level2"/>
      <w:bookmarkStart w:id="34" w:name="_Toc30334_WPSOffice_Level2"/>
      <w:bookmarkStart w:id="35" w:name="_Toc14349_WPSOffice_Level2"/>
      <w:bookmarkStart w:id="36" w:name="_Toc25608_WPSOffice_Level2"/>
      <w:r>
        <w:rPr>
          <w:rFonts w:hint="eastAsia" w:ascii="黑体" w:hAnsi="黑体" w:eastAsia="黑体" w:cs="黑体"/>
          <w:color w:val="auto"/>
          <w:sz w:val="32"/>
          <w:szCs w:val="32"/>
        </w:rPr>
        <w:t>二、收入决算公开表</w:t>
      </w:r>
      <w:bookmarkEnd w:id="31"/>
      <w:bookmarkEnd w:id="32"/>
      <w:bookmarkEnd w:id="33"/>
      <w:bookmarkEnd w:id="34"/>
      <w:bookmarkEnd w:id="35"/>
      <w:bookmarkEnd w:id="36"/>
      <w:bookmarkStart w:id="37" w:name="_Toc5489_WPSOffice_Level2"/>
      <w:bookmarkStart w:id="38" w:name="_Toc17858_WPSOffice_Level2"/>
      <w:bookmarkStart w:id="39" w:name="_Toc3262_WPSOffice_Level2"/>
      <w:bookmarkStart w:id="40" w:name="_Toc17626_WPSOffice_Level2"/>
      <w:bookmarkStart w:id="41" w:name="_Toc13854_WPSOffice_Level2"/>
      <w:bookmarkStart w:id="42" w:name="_Toc14658_WPSOffice_Level2"/>
    </w:p>
    <w:p w14:paraId="27235F35">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7"/>
      <w:bookmarkEnd w:id="38"/>
      <w:bookmarkEnd w:id="39"/>
      <w:bookmarkEnd w:id="40"/>
      <w:bookmarkEnd w:id="41"/>
      <w:bookmarkEnd w:id="42"/>
      <w:bookmarkStart w:id="43" w:name="_Toc23493_WPSOffice_Level2"/>
      <w:bookmarkStart w:id="44" w:name="_Toc23591_WPSOffice_Level2"/>
      <w:bookmarkStart w:id="45" w:name="_Toc21415_WPSOffice_Level2"/>
      <w:bookmarkStart w:id="46" w:name="_Toc4265_WPSOffice_Level2"/>
      <w:bookmarkStart w:id="47" w:name="_Toc7988_WPSOffice_Level2"/>
      <w:bookmarkStart w:id="48" w:name="_Toc13701_WPSOffice_Level2"/>
    </w:p>
    <w:p w14:paraId="3039604A">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3"/>
      <w:bookmarkEnd w:id="44"/>
      <w:bookmarkEnd w:id="45"/>
      <w:bookmarkEnd w:id="46"/>
      <w:bookmarkEnd w:id="47"/>
      <w:bookmarkEnd w:id="48"/>
    </w:p>
    <w:p w14:paraId="48217993">
      <w:pPr>
        <w:spacing w:line="578" w:lineRule="exact"/>
        <w:ind w:firstLine="645"/>
        <w:rPr>
          <w:rFonts w:hint="eastAsia" w:ascii="黑体" w:hAnsi="黑体" w:eastAsia="黑体" w:cs="黑体"/>
          <w:color w:val="auto"/>
          <w:sz w:val="32"/>
          <w:szCs w:val="32"/>
        </w:rPr>
      </w:pPr>
      <w:bookmarkStart w:id="49" w:name="_Toc22783_WPSOffice_Level2"/>
      <w:bookmarkStart w:id="50" w:name="_Toc7879_WPSOffice_Level2"/>
      <w:bookmarkStart w:id="51" w:name="_Toc25166_WPSOffice_Level2"/>
      <w:bookmarkStart w:id="52" w:name="_Toc23829_WPSOffice_Level2"/>
      <w:bookmarkStart w:id="53" w:name="_Toc13516_WPSOffice_Level2"/>
      <w:bookmarkStart w:id="54" w:name="_Toc2158_WPSOffice_Level2"/>
      <w:r>
        <w:rPr>
          <w:rFonts w:hint="eastAsia" w:ascii="黑体" w:hAnsi="黑体" w:eastAsia="黑体" w:cs="黑体"/>
          <w:color w:val="auto"/>
          <w:sz w:val="32"/>
          <w:szCs w:val="32"/>
        </w:rPr>
        <w:t>五、一般公共预算财政拨款收入支出决算</w:t>
      </w:r>
      <w:bookmarkEnd w:id="49"/>
      <w:bookmarkEnd w:id="50"/>
      <w:bookmarkEnd w:id="51"/>
      <w:bookmarkEnd w:id="52"/>
      <w:r>
        <w:rPr>
          <w:rFonts w:hint="eastAsia" w:ascii="黑体" w:hAnsi="黑体" w:eastAsia="黑体" w:cs="黑体"/>
          <w:color w:val="auto"/>
          <w:sz w:val="32"/>
          <w:szCs w:val="32"/>
        </w:rPr>
        <w:t>公开表</w:t>
      </w:r>
      <w:bookmarkEnd w:id="53"/>
      <w:bookmarkEnd w:id="54"/>
      <w:bookmarkStart w:id="55" w:name="_Toc17283_WPSOffice_Level2"/>
      <w:bookmarkStart w:id="56" w:name="_Toc17833_WPSOffice_Level2"/>
      <w:bookmarkStart w:id="57" w:name="_Toc2632_WPSOffice_Level2"/>
      <w:bookmarkStart w:id="58" w:name="_Toc8373_WPSOffice_Level2"/>
      <w:bookmarkStart w:id="59" w:name="_Toc5343_WPSOffice_Level2"/>
      <w:bookmarkStart w:id="60" w:name="_Toc25362_WPSOffice_Level2"/>
    </w:p>
    <w:p w14:paraId="5A8F73F7">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color w:val="auto"/>
          <w:sz w:val="32"/>
          <w:szCs w:val="32"/>
        </w:rPr>
        <w:t>公开表</w:t>
      </w:r>
    </w:p>
    <w:p w14:paraId="00260C53">
      <w:pPr>
        <w:spacing w:line="578" w:lineRule="exact"/>
        <w:ind w:left="1118" w:leftChars="304" w:hanging="480" w:hangingChars="150"/>
        <w:rPr>
          <w:rFonts w:hint="eastAsia" w:ascii="黑体" w:hAnsi="黑体" w:eastAsia="黑体" w:cs="黑体"/>
          <w:color w:val="auto"/>
          <w:sz w:val="32"/>
          <w:szCs w:val="32"/>
        </w:rPr>
      </w:pPr>
      <w:bookmarkStart w:id="61" w:name="_Toc6020_WPSOffice_Level2"/>
      <w:bookmarkStart w:id="62" w:name="_Toc5594_WPSOffice_Level2"/>
      <w:bookmarkStart w:id="63" w:name="_Toc21310_WPSOffice_Level2"/>
      <w:bookmarkStart w:id="64" w:name="_Toc1533_WPSOffice_Level2"/>
      <w:bookmarkStart w:id="65" w:name="_Toc11799_WPSOffice_Level2"/>
      <w:bookmarkStart w:id="66" w:name="_Toc13345_WPSOffice_Level2"/>
      <w:r>
        <w:rPr>
          <w:rFonts w:hint="eastAsia" w:ascii="黑体" w:hAnsi="黑体" w:eastAsia="黑体" w:cs="黑体"/>
          <w:color w:val="auto"/>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color w:val="auto"/>
          <w:sz w:val="32"/>
          <w:szCs w:val="32"/>
        </w:rPr>
        <w:t>公开表</w:t>
      </w:r>
    </w:p>
    <w:p w14:paraId="675BB340">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14:paraId="15A8CAE7">
      <w:pPr>
        <w:spacing w:line="578" w:lineRule="exact"/>
        <w:ind w:firstLine="640"/>
        <w:rPr>
          <w:rFonts w:hint="eastAsia" w:ascii="黑体" w:hAnsi="黑体" w:eastAsia="黑体" w:cs="黑体"/>
          <w:color w:val="auto"/>
          <w:sz w:val="32"/>
          <w:szCs w:val="32"/>
        </w:rPr>
      </w:pPr>
      <w:bookmarkStart w:id="67" w:name="_Toc29886_WPSOffice_Level2"/>
      <w:bookmarkStart w:id="68" w:name="_Toc1820_WPSOffice_Level2"/>
      <w:bookmarkStart w:id="69" w:name="_Toc9377_WPSOffice_Level2"/>
      <w:bookmarkStart w:id="70" w:name="_Toc19961_WPSOffice_Level2"/>
      <w:r>
        <w:rPr>
          <w:rFonts w:hint="eastAsia" w:ascii="黑体" w:hAnsi="黑体" w:eastAsia="黑体" w:cs="黑体"/>
          <w:color w:val="auto"/>
          <w:sz w:val="32"/>
          <w:szCs w:val="32"/>
        </w:rPr>
        <w:t>九、财政拨款“三公”经费支出决算</w:t>
      </w:r>
      <w:bookmarkEnd w:id="67"/>
      <w:bookmarkEnd w:id="68"/>
      <w:bookmarkEnd w:id="69"/>
      <w:bookmarkEnd w:id="70"/>
      <w:r>
        <w:rPr>
          <w:rFonts w:hint="eastAsia" w:ascii="黑体" w:hAnsi="黑体" w:eastAsia="黑体" w:cs="黑体"/>
          <w:color w:val="auto"/>
          <w:sz w:val="32"/>
          <w:szCs w:val="32"/>
        </w:rPr>
        <w:t>公开表</w:t>
      </w:r>
    </w:p>
    <w:p w14:paraId="2721783B">
      <w:pPr>
        <w:spacing w:line="578" w:lineRule="exact"/>
        <w:ind w:firstLine="640"/>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 xml:space="preserve">以上报表见附件1。   </w:t>
      </w:r>
    </w:p>
    <w:p w14:paraId="1D58CBBE">
      <w:pPr>
        <w:spacing w:line="578" w:lineRule="exact"/>
        <w:rPr>
          <w:rFonts w:hint="eastAsia" w:ascii="黑体" w:hAnsi="黑体" w:eastAsia="黑体" w:cs="黑体"/>
          <w:color w:val="auto"/>
          <w:sz w:val="32"/>
          <w:szCs w:val="32"/>
        </w:rPr>
      </w:pPr>
    </w:p>
    <w:p w14:paraId="33B97194">
      <w:pPr>
        <w:spacing w:line="578" w:lineRule="exact"/>
        <w:jc w:val="center"/>
        <w:rPr>
          <w:rFonts w:hint="eastAsia" w:ascii="黑体" w:hAnsi="ˎ̥" w:eastAsia="黑体"/>
          <w:color w:val="auto"/>
          <w:sz w:val="32"/>
          <w:szCs w:val="32"/>
        </w:rPr>
      </w:pPr>
      <w:bookmarkStart w:id="71" w:name="_Toc28629_WPSOffice_Level1"/>
      <w:bookmarkStart w:id="72" w:name="_Toc31264_WPSOffice_Level1"/>
      <w:bookmarkStart w:id="73" w:name="_Toc16686_WPSOffice_Level1"/>
      <w:bookmarkStart w:id="74" w:name="_Toc29683_WPSOffice_Level1"/>
      <w:bookmarkStart w:id="75" w:name="_Toc4402_WPSOffice_Level1"/>
      <w:bookmarkStart w:id="76" w:name="_Toc27590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2025</w:t>
      </w:r>
      <w:r>
        <w:rPr>
          <w:rFonts w:hint="eastAsia" w:ascii="黑体" w:hAnsi="ˎ̥" w:eastAsia="黑体"/>
          <w:color w:val="auto"/>
          <w:sz w:val="32"/>
          <w:szCs w:val="32"/>
        </w:rPr>
        <w:t>年度</w:t>
      </w:r>
      <w:r>
        <w:rPr>
          <w:rFonts w:hint="eastAsia" w:ascii="黑体" w:hAnsi="ˎ̥" w:eastAsia="黑体"/>
          <w:color w:val="auto"/>
          <w:sz w:val="32"/>
          <w:szCs w:val="32"/>
          <w:lang w:eastAsia="zh-CN"/>
        </w:rPr>
        <w:t>单位</w:t>
      </w:r>
      <w:r>
        <w:rPr>
          <w:rFonts w:hint="eastAsia" w:ascii="黑体" w:hAnsi="ˎ̥" w:eastAsia="黑体"/>
          <w:color w:val="auto"/>
          <w:sz w:val="32"/>
          <w:szCs w:val="32"/>
        </w:rPr>
        <w:t>决算情况说明</w:t>
      </w:r>
      <w:bookmarkEnd w:id="71"/>
      <w:bookmarkEnd w:id="72"/>
      <w:bookmarkEnd w:id="73"/>
      <w:bookmarkEnd w:id="74"/>
      <w:bookmarkEnd w:id="75"/>
      <w:bookmarkEnd w:id="76"/>
    </w:p>
    <w:p w14:paraId="0BEB80C0">
      <w:pPr>
        <w:spacing w:line="578" w:lineRule="exact"/>
        <w:jc w:val="center"/>
        <w:rPr>
          <w:rFonts w:hint="eastAsia" w:ascii="黑体" w:hAnsi="ˎ̥" w:eastAsia="黑体"/>
          <w:color w:val="auto"/>
          <w:sz w:val="32"/>
          <w:szCs w:val="32"/>
        </w:rPr>
      </w:pPr>
    </w:p>
    <w:p w14:paraId="671248D6">
      <w:pPr>
        <w:widowControl w:val="0"/>
        <w:numPr>
          <w:ilvl w:val="0"/>
          <w:numId w:val="0"/>
        </w:numPr>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kern w:val="2"/>
          <w:sz w:val="32"/>
          <w:szCs w:val="32"/>
          <w:lang w:val="en-US" w:eastAsia="zh-CN" w:bidi="ar-SA"/>
        </w:rPr>
        <w:t>一、</w:t>
      </w:r>
      <w:r>
        <w:rPr>
          <w:rFonts w:hint="eastAsia" w:ascii="黑体" w:hAnsi="黑体" w:eastAsia="黑体" w:cs="黑体"/>
          <w:bCs/>
          <w:color w:val="auto"/>
          <w:sz w:val="32"/>
          <w:szCs w:val="32"/>
        </w:rPr>
        <w:t>收入支出总体情况说明</w:t>
      </w:r>
    </w:p>
    <w:p w14:paraId="1415B4C8">
      <w:pPr>
        <w:widowControl w:val="0"/>
        <w:numPr>
          <w:ilvl w:val="0"/>
          <w:numId w:val="0"/>
        </w:numPr>
        <w:wordWrap/>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年度相比，收入、支出总计各增加</w:t>
      </w:r>
      <w:r>
        <w:rPr>
          <w:rFonts w:hint="eastAsia" w:ascii="仿宋" w:hAnsi="仿宋" w:eastAsia="仿宋" w:cs="仿宋"/>
          <w:color w:val="auto"/>
          <w:sz w:val="32"/>
          <w:szCs w:val="32"/>
          <w:lang w:val="en-US" w:eastAsia="zh-CN"/>
        </w:rPr>
        <w:t>163.46</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9.9</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是项目完成率较上年加快</w:t>
      </w:r>
      <w:r>
        <w:rPr>
          <w:rFonts w:hint="eastAsia" w:ascii="仿宋" w:hAnsi="仿宋" w:eastAsia="仿宋" w:cs="仿宋"/>
          <w:color w:val="auto"/>
          <w:sz w:val="32"/>
          <w:szCs w:val="32"/>
          <w:highlight w:val="none"/>
        </w:rPr>
        <w:t>。</w:t>
      </w:r>
    </w:p>
    <w:p w14:paraId="715F5E00">
      <w:pPr>
        <w:widowControl w:val="0"/>
        <w:wordWrap/>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63A1D6F8">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w:t>
      </w:r>
    </w:p>
    <w:p w14:paraId="4325992E">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使用非财政拨款结余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45FB8CE3">
      <w:pPr>
        <w:widowControl w:val="0"/>
        <w:wordWrap/>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color w:val="auto"/>
          <w:sz w:val="32"/>
          <w:szCs w:val="32"/>
        </w:rPr>
        <w:t>年初结转结余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3B1D2A04">
      <w:pPr>
        <w:widowControl w:val="0"/>
        <w:wordWrap/>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2CEFAFA5">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w:t>
      </w:r>
    </w:p>
    <w:p w14:paraId="50E44153">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结余分配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18749CDA">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年末结转结余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2268D824">
      <w:pPr>
        <w:widowControl w:val="0"/>
        <w:numPr>
          <w:ilvl w:val="0"/>
          <w:numId w:val="0"/>
        </w:numPr>
        <w:wordWrap/>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kern w:val="2"/>
          <w:sz w:val="32"/>
          <w:szCs w:val="32"/>
          <w:lang w:val="en-US" w:eastAsia="zh-CN" w:bidi="ar-SA"/>
        </w:rPr>
        <w:t>二、</w:t>
      </w:r>
      <w:r>
        <w:rPr>
          <w:rFonts w:hint="eastAsia" w:ascii="黑体" w:hAnsi="黑体" w:eastAsia="黑体" w:cs="黑体"/>
          <w:bCs/>
          <w:color w:val="auto"/>
          <w:sz w:val="32"/>
          <w:szCs w:val="32"/>
        </w:rPr>
        <w:t>收入决算情况说明</w:t>
      </w:r>
    </w:p>
    <w:p w14:paraId="64C2FE32">
      <w:pPr>
        <w:widowControl w:val="0"/>
        <w:numPr>
          <w:ilvl w:val="0"/>
          <w:numId w:val="0"/>
        </w:numPr>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%；事业收入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%；附属单位上缴收入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7F239E21">
      <w:pPr>
        <w:widowControl w:val="0"/>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64EC2772">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238.87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13.1</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1,580.92</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86.9</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%；对附属单位补助支出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20D5A8DA">
      <w:pPr>
        <w:widowControl w:val="0"/>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14:paraId="208ACCCC">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年度相比，财政拨款收入增加</w:t>
      </w:r>
      <w:r>
        <w:rPr>
          <w:rFonts w:hint="eastAsia" w:ascii="仿宋" w:hAnsi="仿宋" w:eastAsia="仿宋" w:cs="仿宋"/>
          <w:color w:val="auto"/>
          <w:sz w:val="32"/>
          <w:szCs w:val="32"/>
          <w:lang w:val="en-US" w:eastAsia="zh-CN"/>
        </w:rPr>
        <w:t>163.46</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9.9</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是项目完成率较上年加快</w:t>
      </w:r>
      <w:r>
        <w:rPr>
          <w:rFonts w:hint="eastAsia" w:ascii="仿宋" w:hAnsi="仿宋" w:eastAsia="仿宋" w:cs="仿宋"/>
          <w:color w:val="auto"/>
          <w:sz w:val="32"/>
          <w:szCs w:val="32"/>
        </w:rPr>
        <w:t>。支出增加</w:t>
      </w:r>
      <w:r>
        <w:rPr>
          <w:rFonts w:hint="eastAsia" w:ascii="仿宋" w:hAnsi="仿宋" w:eastAsia="仿宋" w:cs="仿宋"/>
          <w:color w:val="auto"/>
          <w:sz w:val="32"/>
          <w:szCs w:val="32"/>
          <w:lang w:val="en-US" w:eastAsia="zh-CN"/>
        </w:rPr>
        <w:t>163.46</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9.9</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是项目完成率较上年加快</w:t>
      </w:r>
      <w:r>
        <w:rPr>
          <w:rFonts w:hint="eastAsia" w:ascii="仿宋" w:hAnsi="仿宋" w:eastAsia="仿宋" w:cs="仿宋"/>
          <w:color w:val="auto"/>
          <w:sz w:val="32"/>
          <w:szCs w:val="32"/>
        </w:rPr>
        <w:t>。</w:t>
      </w:r>
    </w:p>
    <w:p w14:paraId="52822E9D">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财政拨款年初结转结余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712E23F6">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财政拨款年末结转结余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1A7F35A6">
      <w:pPr>
        <w:widowControl w:val="0"/>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14:paraId="4C9BC5E4">
      <w:pPr>
        <w:widowControl w:val="0"/>
        <w:wordWrap/>
        <w:adjustRightInd/>
        <w:snapToGrid/>
        <w:spacing w:line="578" w:lineRule="exact"/>
        <w:ind w:firstLine="640" w:firstLineChars="200"/>
        <w:textAlignment w:val="auto"/>
        <w:rPr>
          <w:rFonts w:hint="eastAsia" w:ascii="楷体" w:hAnsi="楷体" w:eastAsia="楷体" w:cs="楷体"/>
          <w:color w:val="auto"/>
          <w:sz w:val="32"/>
          <w:szCs w:val="32"/>
        </w:rPr>
      </w:pPr>
      <w:bookmarkStart w:id="77" w:name="_Toc21737_WPSOffice_Level2"/>
      <w:bookmarkStart w:id="78" w:name="_Toc9989_WPSOffice_Level2"/>
      <w:bookmarkStart w:id="79" w:name="_Toc13694_WPSOffice_Level2"/>
      <w:bookmarkStart w:id="80" w:name="_Toc17398_WPSOffice_Level2"/>
      <w:bookmarkStart w:id="81" w:name="_Toc23005_WPSOffice_Level2"/>
      <w:bookmarkStart w:id="82" w:name="_Toc19665_WPSOffice_Level2"/>
      <w:r>
        <w:rPr>
          <w:rFonts w:hint="eastAsia" w:ascii="楷体" w:hAnsi="楷体" w:eastAsia="楷体" w:cs="楷体"/>
          <w:color w:val="auto"/>
          <w:sz w:val="32"/>
          <w:szCs w:val="32"/>
        </w:rPr>
        <w:t>（一）一般公共预算财政拨款支出决算总体情况</w:t>
      </w:r>
      <w:bookmarkEnd w:id="77"/>
      <w:bookmarkEnd w:id="78"/>
      <w:bookmarkEnd w:id="79"/>
      <w:bookmarkEnd w:id="80"/>
      <w:bookmarkEnd w:id="81"/>
      <w:bookmarkEnd w:id="82"/>
    </w:p>
    <w:p w14:paraId="180AAC61">
      <w:pPr>
        <w:widowControl w:val="0"/>
        <w:wordWrap/>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年度相比，一般公共预算财政拨款支出增加</w:t>
      </w:r>
      <w:r>
        <w:rPr>
          <w:rFonts w:hint="eastAsia" w:ascii="仿宋" w:hAnsi="仿宋" w:eastAsia="仿宋" w:cs="仿宋"/>
          <w:color w:val="auto"/>
          <w:sz w:val="32"/>
          <w:szCs w:val="32"/>
          <w:lang w:val="en-US" w:eastAsia="zh-CN"/>
        </w:rPr>
        <w:t>163.46</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9.9</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是项目完成率较上年加快</w:t>
      </w:r>
      <w:r>
        <w:rPr>
          <w:rFonts w:hint="eastAsia" w:ascii="仿宋" w:hAnsi="仿宋" w:eastAsia="仿宋" w:cs="仿宋"/>
          <w:color w:val="auto"/>
          <w:sz w:val="32"/>
          <w:szCs w:val="32"/>
        </w:rPr>
        <w:t>。</w:t>
      </w:r>
    </w:p>
    <w:p w14:paraId="381713CB">
      <w:pPr>
        <w:widowControl w:val="0"/>
        <w:wordWrap/>
        <w:adjustRightInd/>
        <w:snapToGrid/>
        <w:spacing w:line="578" w:lineRule="exact"/>
        <w:ind w:firstLine="640" w:firstLineChars="200"/>
        <w:textAlignment w:val="auto"/>
        <w:rPr>
          <w:rFonts w:hint="eastAsia" w:ascii="楷体" w:hAnsi="楷体" w:eastAsia="楷体" w:cs="楷体"/>
          <w:color w:val="auto"/>
          <w:sz w:val="32"/>
          <w:szCs w:val="32"/>
        </w:rPr>
      </w:pPr>
      <w:bookmarkStart w:id="83" w:name="_Toc19075_WPSOffice_Level2"/>
      <w:bookmarkStart w:id="84" w:name="_Toc19535_WPSOffice_Level2"/>
      <w:bookmarkStart w:id="85" w:name="_Toc27767_WPSOffice_Level2"/>
      <w:bookmarkStart w:id="86" w:name="_Toc23864_WPSOffice_Level2"/>
      <w:bookmarkStart w:id="87" w:name="_Toc2711_WPSOffice_Level2"/>
      <w:bookmarkStart w:id="88" w:name="_Toc18793_WPSOffice_Level2"/>
      <w:r>
        <w:rPr>
          <w:rFonts w:hint="eastAsia" w:ascii="楷体" w:hAnsi="楷体" w:eastAsia="楷体" w:cs="楷体"/>
          <w:color w:val="auto"/>
          <w:sz w:val="32"/>
          <w:szCs w:val="32"/>
        </w:rPr>
        <w:t>（二）一般公共预算财政拨款支出决算结构情况</w:t>
      </w:r>
      <w:bookmarkEnd w:id="83"/>
      <w:bookmarkEnd w:id="84"/>
      <w:bookmarkEnd w:id="85"/>
      <w:bookmarkEnd w:id="86"/>
      <w:bookmarkEnd w:id="87"/>
      <w:bookmarkEnd w:id="88"/>
    </w:p>
    <w:p w14:paraId="01349ACD">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万元，主要用于以下方面：</w:t>
      </w:r>
      <w:r>
        <w:rPr>
          <w:rFonts w:hint="eastAsia" w:ascii="仿宋" w:hAnsi="仿宋" w:eastAsia="仿宋" w:cs="仿宋"/>
          <w:b/>
          <w:color w:val="auto"/>
          <w:sz w:val="32"/>
          <w:szCs w:val="32"/>
          <w:highlight w:val="none"/>
        </w:rPr>
        <w:t>一般公共服务（类）</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val="en-US" w:eastAsia="zh-CN"/>
        </w:rPr>
        <w:t>1</w:t>
      </w:r>
      <w:r>
        <w:rPr>
          <w:rFonts w:hint="default" w:ascii="仿宋_GB2312" w:hAnsi="ˎ̥" w:eastAsia="仿宋_GB2312"/>
          <w:color w:val="auto"/>
          <w:sz w:val="32"/>
          <w:szCs w:val="32"/>
          <w:lang w:val="en-US"/>
        </w:rPr>
        <w:t>,</w:t>
      </w:r>
      <w:r>
        <w:rPr>
          <w:rFonts w:hint="eastAsia" w:ascii="仿宋" w:hAnsi="仿宋" w:eastAsia="仿宋" w:cs="仿宋"/>
          <w:color w:val="auto"/>
          <w:sz w:val="32"/>
          <w:szCs w:val="32"/>
          <w:highlight w:val="none"/>
          <w:lang w:val="en-US" w:eastAsia="zh-CN"/>
        </w:rPr>
        <w:t>755.09</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96.5</w:t>
      </w:r>
      <w:r>
        <w:rPr>
          <w:rFonts w:hint="eastAsia" w:ascii="仿宋" w:hAnsi="仿宋" w:eastAsia="仿宋" w:cs="仿宋"/>
          <w:color w:val="auto"/>
          <w:sz w:val="32"/>
          <w:szCs w:val="32"/>
          <w:highlight w:val="none"/>
        </w:rPr>
        <w:t>%；</w:t>
      </w:r>
      <w:r>
        <w:rPr>
          <w:rFonts w:hint="eastAsia" w:ascii="仿宋" w:hAnsi="仿宋" w:eastAsia="仿宋" w:cs="仿宋"/>
          <w:b/>
          <w:color w:val="auto"/>
          <w:sz w:val="32"/>
          <w:szCs w:val="32"/>
          <w:highlight w:val="none"/>
        </w:rPr>
        <w:t>社会保障和就业（类）</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val="en-US" w:eastAsia="zh-CN"/>
        </w:rPr>
        <w:t>40.56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2.2</w:t>
      </w:r>
      <w:r>
        <w:rPr>
          <w:rFonts w:hint="eastAsia" w:ascii="仿宋" w:hAnsi="仿宋" w:eastAsia="仿宋" w:cs="仿宋"/>
          <w:color w:val="auto"/>
          <w:sz w:val="32"/>
          <w:szCs w:val="32"/>
          <w:highlight w:val="none"/>
        </w:rPr>
        <w:t>%；</w:t>
      </w:r>
      <w:r>
        <w:rPr>
          <w:rFonts w:hint="eastAsia" w:ascii="仿宋_GB2312" w:hAnsi="ˎ̥" w:eastAsia="仿宋_GB2312"/>
          <w:b/>
          <w:bCs/>
          <w:color w:val="auto"/>
          <w:sz w:val="32"/>
          <w:szCs w:val="32"/>
        </w:rPr>
        <w:t>卫生健康（类）</w:t>
      </w:r>
      <w:r>
        <w:rPr>
          <w:rFonts w:hint="eastAsia" w:ascii="仿宋_GB2312" w:hAnsi="ˎ̥" w:eastAsia="仿宋_GB2312"/>
          <w:color w:val="auto"/>
          <w:sz w:val="32"/>
          <w:szCs w:val="32"/>
        </w:rPr>
        <w:t>支出</w:t>
      </w:r>
      <w:r>
        <w:rPr>
          <w:rFonts w:hint="eastAsia" w:ascii="仿宋" w:hAnsi="仿宋" w:eastAsia="仿宋" w:cs="仿宋"/>
          <w:color w:val="auto"/>
          <w:sz w:val="32"/>
          <w:szCs w:val="32"/>
          <w:highlight w:val="none"/>
          <w:lang w:val="en-US" w:eastAsia="zh-CN"/>
        </w:rPr>
        <w:t>7.05</w:t>
      </w:r>
      <w:r>
        <w:rPr>
          <w:rFonts w:hint="eastAsia" w:ascii="仿宋_GB2312" w:hAnsi="ˎ̥" w:eastAsia="仿宋_GB2312"/>
          <w:color w:val="auto"/>
          <w:sz w:val="32"/>
          <w:szCs w:val="32"/>
          <w:highlight w:val="none"/>
        </w:rPr>
        <w:t>万元，占</w:t>
      </w:r>
      <w:r>
        <w:rPr>
          <w:rFonts w:hint="eastAsia" w:ascii="仿宋" w:hAnsi="仿宋" w:eastAsia="仿宋" w:cs="仿宋"/>
          <w:color w:val="auto"/>
          <w:sz w:val="32"/>
          <w:szCs w:val="32"/>
          <w:highlight w:val="none"/>
          <w:lang w:val="en-US" w:eastAsia="zh-CN"/>
        </w:rPr>
        <w:t>0.4</w:t>
      </w:r>
      <w:r>
        <w:rPr>
          <w:rFonts w:hint="eastAsia" w:ascii="仿宋" w:hAnsi="仿宋" w:eastAsia="仿宋" w:cs="仿宋"/>
          <w:color w:val="auto"/>
          <w:sz w:val="32"/>
          <w:szCs w:val="32"/>
          <w:highlight w:val="none"/>
        </w:rPr>
        <w:t>%</w:t>
      </w:r>
      <w:r>
        <w:rPr>
          <w:rFonts w:hint="eastAsia" w:ascii="仿宋_GB2312" w:hAnsi="ˎ̥" w:eastAsia="仿宋_GB2312"/>
          <w:color w:val="auto"/>
          <w:sz w:val="32"/>
          <w:szCs w:val="32"/>
          <w:highlight w:val="none"/>
        </w:rPr>
        <w:t>；</w:t>
      </w:r>
      <w:r>
        <w:rPr>
          <w:rFonts w:hint="eastAsia" w:ascii="仿宋" w:hAnsi="仿宋" w:eastAsia="仿宋" w:cs="仿宋"/>
          <w:b/>
          <w:bCs/>
          <w:color w:val="auto"/>
          <w:sz w:val="32"/>
          <w:szCs w:val="32"/>
          <w:highlight w:val="none"/>
        </w:rPr>
        <w:t>住房保障（类）</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val="en-US" w:eastAsia="zh-CN"/>
        </w:rPr>
        <w:t>17.1</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0.9</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rPr>
        <w:t>。</w:t>
      </w:r>
    </w:p>
    <w:p w14:paraId="5AE4286B">
      <w:pPr>
        <w:widowControl w:val="0"/>
        <w:wordWrap/>
        <w:adjustRightInd/>
        <w:snapToGrid/>
        <w:spacing w:line="578" w:lineRule="exact"/>
        <w:ind w:firstLine="640" w:firstLineChars="200"/>
        <w:textAlignment w:val="auto"/>
        <w:rPr>
          <w:rFonts w:hint="eastAsia" w:ascii="楷体" w:hAnsi="楷体" w:eastAsia="楷体" w:cs="楷体"/>
          <w:color w:val="auto"/>
          <w:sz w:val="32"/>
          <w:szCs w:val="32"/>
        </w:rPr>
      </w:pPr>
      <w:bookmarkStart w:id="89" w:name="_Toc15415_WPSOffice_Level2"/>
      <w:bookmarkStart w:id="90" w:name="_Toc25136_WPSOffice_Level2"/>
      <w:bookmarkStart w:id="91" w:name="_Toc21701_WPSOffice_Level2"/>
      <w:bookmarkStart w:id="92" w:name="_Toc22318_WPSOffice_Level2"/>
      <w:bookmarkStart w:id="93" w:name="_Toc9502_WPSOffice_Level2"/>
      <w:bookmarkStart w:id="94" w:name="_Toc29364_WPSOffice_Level2"/>
      <w:r>
        <w:rPr>
          <w:rFonts w:hint="eastAsia" w:ascii="楷体" w:hAnsi="楷体" w:eastAsia="楷体" w:cs="楷体"/>
          <w:color w:val="auto"/>
          <w:sz w:val="32"/>
          <w:szCs w:val="32"/>
        </w:rPr>
        <w:t>（三）一般公共预算财政拨款支出决算具体情况</w:t>
      </w:r>
      <w:bookmarkEnd w:id="89"/>
      <w:bookmarkEnd w:id="90"/>
      <w:bookmarkEnd w:id="91"/>
      <w:bookmarkEnd w:id="92"/>
      <w:bookmarkEnd w:id="93"/>
      <w:bookmarkEnd w:id="94"/>
    </w:p>
    <w:p w14:paraId="06CA4B1D">
      <w:pPr>
        <w:widowControl w:val="0"/>
        <w:wordWrap/>
        <w:adjustRightInd/>
        <w:snapToGrid/>
        <w:spacing w:before="0" w:after="0" w:line="560" w:lineRule="exact"/>
        <w:ind w:left="0" w:leftChars="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年度一般公共预算财政拨款支出年初预算为</w:t>
      </w:r>
      <w:r>
        <w:rPr>
          <w:rFonts w:hint="eastAsia" w:ascii="仿宋" w:hAnsi="仿宋" w:eastAsia="仿宋" w:cs="仿宋"/>
          <w:color w:val="auto"/>
          <w:sz w:val="32"/>
          <w:szCs w:val="32"/>
          <w:lang w:val="en-US" w:eastAsia="zh-CN"/>
        </w:rPr>
        <w:t>2,000.13</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1,819.79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91</w:t>
      </w:r>
      <w:r>
        <w:rPr>
          <w:rFonts w:hint="eastAsia" w:ascii="仿宋" w:hAnsi="仿宋" w:eastAsia="仿宋" w:cs="仿宋"/>
          <w:color w:val="auto"/>
          <w:sz w:val="32"/>
          <w:szCs w:val="32"/>
        </w:rPr>
        <w:t>%。其中：</w:t>
      </w:r>
    </w:p>
    <w:p w14:paraId="43B8659B">
      <w:pPr>
        <w:widowControl w:val="0"/>
        <w:wordWrap/>
        <w:adjustRightInd/>
        <w:snapToGrid/>
        <w:spacing w:before="0" w:after="0" w:line="560" w:lineRule="exact"/>
        <w:ind w:left="0" w:leftChars="0" w:right="0" w:firstLine="643" w:firstLineChars="200"/>
        <w:jc w:val="both"/>
        <w:textAlignment w:val="auto"/>
        <w:outlineLvl w:val="9"/>
        <w:rPr>
          <w:rFonts w:hint="eastAsia" w:ascii="仿宋_GB2312" w:hAnsi="ˎ̥" w:eastAsia="仿宋_GB2312"/>
          <w:b/>
          <w:color w:val="auto"/>
          <w:sz w:val="32"/>
          <w:szCs w:val="32"/>
          <w:highlight w:val="none"/>
        </w:rPr>
      </w:pPr>
      <w:r>
        <w:rPr>
          <w:rFonts w:hint="eastAsia" w:ascii="仿宋" w:hAnsi="仿宋" w:eastAsia="仿宋" w:cs="仿宋"/>
          <w:b/>
          <w:bCs/>
          <w:color w:val="auto"/>
          <w:sz w:val="32"/>
          <w:szCs w:val="32"/>
          <w:highlight w:val="none"/>
        </w:rPr>
        <w:t>1.</w:t>
      </w:r>
      <w:r>
        <w:rPr>
          <w:rFonts w:hint="eastAsia" w:ascii="仿宋_GB2312" w:hAnsi="ˎ̥" w:eastAsia="仿宋_GB2312"/>
          <w:b/>
          <w:bCs/>
          <w:color w:val="auto"/>
          <w:sz w:val="32"/>
          <w:szCs w:val="32"/>
          <w:highlight w:val="none"/>
        </w:rPr>
        <w:t>一般</w:t>
      </w:r>
      <w:r>
        <w:rPr>
          <w:rFonts w:hint="eastAsia" w:ascii="仿宋_GB2312" w:hAnsi="ˎ̥" w:eastAsia="仿宋_GB2312"/>
          <w:b/>
          <w:color w:val="auto"/>
          <w:sz w:val="32"/>
          <w:szCs w:val="32"/>
          <w:highlight w:val="none"/>
        </w:rPr>
        <w:t>公共服务</w:t>
      </w:r>
      <w:r>
        <w:rPr>
          <w:rFonts w:hint="eastAsia" w:ascii="仿宋_GB2312" w:hAnsi="ˎ̥" w:eastAsia="仿宋_GB2312"/>
          <w:b/>
          <w:color w:val="auto"/>
          <w:sz w:val="32"/>
          <w:szCs w:val="32"/>
          <w:highlight w:val="none"/>
          <w:lang w:eastAsia="zh-CN"/>
        </w:rPr>
        <w:t>支出</w:t>
      </w:r>
      <w:r>
        <w:rPr>
          <w:rFonts w:hint="eastAsia" w:ascii="仿宋_GB2312" w:hAnsi="ˎ̥" w:eastAsia="仿宋_GB2312"/>
          <w:b/>
          <w:color w:val="auto"/>
          <w:sz w:val="32"/>
          <w:szCs w:val="32"/>
          <w:highlight w:val="none"/>
        </w:rPr>
        <w:t>（类）</w:t>
      </w:r>
      <w:r>
        <w:rPr>
          <w:rFonts w:hint="eastAsia" w:ascii="仿宋_GB2312" w:hAnsi="ˎ̥" w:eastAsia="仿宋_GB2312"/>
          <w:b/>
          <w:color w:val="auto"/>
          <w:sz w:val="32"/>
          <w:szCs w:val="32"/>
          <w:highlight w:val="none"/>
          <w:lang w:eastAsia="zh-CN"/>
        </w:rPr>
        <w:t>财政</w:t>
      </w:r>
      <w:r>
        <w:rPr>
          <w:rFonts w:hint="eastAsia" w:ascii="仿宋_GB2312" w:hAnsi="ˎ̥" w:eastAsia="仿宋_GB2312"/>
          <w:b/>
          <w:color w:val="auto"/>
          <w:sz w:val="32"/>
          <w:szCs w:val="32"/>
          <w:highlight w:val="none"/>
        </w:rPr>
        <w:t>事务（款）</w:t>
      </w:r>
      <w:r>
        <w:rPr>
          <w:rFonts w:hint="eastAsia" w:ascii="仿宋_GB2312" w:hAnsi="ˎ̥" w:eastAsia="仿宋_GB2312"/>
          <w:b/>
          <w:color w:val="auto"/>
          <w:sz w:val="32"/>
          <w:szCs w:val="32"/>
          <w:highlight w:val="none"/>
          <w:lang w:eastAsia="zh-CN"/>
        </w:rPr>
        <w:t>信息化建设（项）</w:t>
      </w:r>
      <w:r>
        <w:rPr>
          <w:rFonts w:hint="eastAsia" w:ascii="仿宋_GB2312" w:hAnsi="ˎ̥" w:eastAsia="仿宋_GB2312"/>
          <w:b/>
          <w:color w:val="auto"/>
          <w:sz w:val="32"/>
          <w:szCs w:val="32"/>
          <w:highlight w:val="none"/>
        </w:rPr>
        <w:t>。</w:t>
      </w:r>
    </w:p>
    <w:p w14:paraId="61D87FD7">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w:t>
      </w:r>
      <w:r>
        <w:rPr>
          <w:rFonts w:hint="default" w:ascii="仿宋" w:hAnsi="仿宋" w:eastAsia="仿宋" w:cs="仿宋"/>
          <w:color w:val="auto"/>
          <w:sz w:val="32"/>
          <w:szCs w:val="32"/>
          <w:lang w:val="en-US"/>
        </w:rPr>
        <w:t>,</w:t>
      </w:r>
      <w:r>
        <w:rPr>
          <w:rFonts w:hint="eastAsia" w:ascii="仿宋" w:hAnsi="仿宋" w:eastAsia="仿宋" w:cs="仿宋"/>
          <w:color w:val="auto"/>
          <w:sz w:val="32"/>
          <w:szCs w:val="32"/>
          <w:lang w:val="en-US" w:eastAsia="zh-CN"/>
        </w:rPr>
        <w:t>783.83</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1,578.19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88.5</w:t>
      </w:r>
      <w:r>
        <w:rPr>
          <w:rFonts w:hint="eastAsia" w:ascii="仿宋" w:hAnsi="仿宋" w:eastAsia="仿宋" w:cs="仿宋"/>
          <w:color w:val="auto"/>
          <w:sz w:val="32"/>
          <w:szCs w:val="32"/>
        </w:rPr>
        <w:t>%。决算数小于预算数的主要原因：</w:t>
      </w:r>
      <w:r>
        <w:rPr>
          <w:rFonts w:hint="eastAsia" w:ascii="仿宋" w:hAnsi="仿宋" w:eastAsia="仿宋" w:cs="仿宋"/>
          <w:color w:val="auto"/>
          <w:sz w:val="32"/>
          <w:szCs w:val="32"/>
          <w:lang w:eastAsia="zh-CN"/>
        </w:rPr>
        <w:t>按照项目采购实际情况，在年中收回采购剩余预算。</w:t>
      </w:r>
    </w:p>
    <w:p w14:paraId="11CA06BE">
      <w:pPr>
        <w:spacing w:line="578" w:lineRule="exact"/>
        <w:ind w:firstLine="643" w:firstLineChars="200"/>
        <w:rPr>
          <w:rFonts w:hint="eastAsia" w:ascii="仿宋_GB2312" w:hAnsi="ˎ̥" w:eastAsia="仿宋_GB2312"/>
          <w:b/>
          <w:color w:val="auto"/>
          <w:sz w:val="32"/>
          <w:szCs w:val="32"/>
          <w:lang w:eastAsia="zh-CN"/>
        </w:rPr>
      </w:pPr>
      <w:r>
        <w:rPr>
          <w:rFonts w:hint="eastAsia" w:ascii="仿宋_GB2312" w:hAnsi="ˎ̥" w:eastAsia="仿宋_GB2312"/>
          <w:b/>
          <w:color w:val="auto"/>
          <w:sz w:val="32"/>
          <w:szCs w:val="32"/>
        </w:rPr>
        <w:t>2.一般公共服务</w:t>
      </w:r>
      <w:r>
        <w:rPr>
          <w:rFonts w:hint="eastAsia" w:ascii="仿宋_GB2312" w:hAnsi="ˎ̥" w:eastAsia="仿宋_GB2312"/>
          <w:b/>
          <w:color w:val="auto"/>
          <w:sz w:val="32"/>
          <w:szCs w:val="32"/>
          <w:highlight w:val="none"/>
          <w:lang w:eastAsia="zh-CN"/>
        </w:rPr>
        <w:t>支出</w:t>
      </w:r>
      <w:r>
        <w:rPr>
          <w:rFonts w:hint="eastAsia" w:ascii="仿宋_GB2312" w:hAnsi="ˎ̥" w:eastAsia="仿宋_GB2312"/>
          <w:b/>
          <w:color w:val="auto"/>
          <w:sz w:val="32"/>
          <w:szCs w:val="32"/>
        </w:rPr>
        <w:t>（类）</w:t>
      </w:r>
      <w:r>
        <w:rPr>
          <w:rFonts w:hint="eastAsia" w:ascii="仿宋_GB2312" w:hAnsi="ˎ̥" w:eastAsia="仿宋_GB2312"/>
          <w:b/>
          <w:color w:val="auto"/>
          <w:sz w:val="32"/>
          <w:szCs w:val="32"/>
          <w:lang w:eastAsia="zh-CN"/>
        </w:rPr>
        <w:t>财政</w:t>
      </w:r>
      <w:r>
        <w:rPr>
          <w:rFonts w:hint="eastAsia" w:ascii="仿宋_GB2312" w:hAnsi="ˎ̥" w:eastAsia="仿宋_GB2312"/>
          <w:b/>
          <w:color w:val="auto"/>
          <w:sz w:val="32"/>
          <w:szCs w:val="32"/>
        </w:rPr>
        <w:t>事务（款）</w:t>
      </w:r>
      <w:r>
        <w:rPr>
          <w:rFonts w:hint="eastAsia" w:ascii="仿宋_GB2312" w:hAnsi="ˎ̥" w:eastAsia="仿宋_GB2312"/>
          <w:b/>
          <w:color w:val="auto"/>
          <w:sz w:val="32"/>
          <w:szCs w:val="32"/>
          <w:lang w:eastAsia="zh-CN"/>
        </w:rPr>
        <w:t>事业运行（项）。</w:t>
      </w:r>
    </w:p>
    <w:p w14:paraId="44E09AD2">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159.23</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174.16</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109.4</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于预算数的主要原因：</w:t>
      </w:r>
      <w:r>
        <w:rPr>
          <w:rFonts w:hint="eastAsia" w:ascii="仿宋" w:hAnsi="仿宋" w:eastAsia="仿宋" w:cs="仿宋"/>
          <w:color w:val="auto"/>
          <w:sz w:val="32"/>
          <w:szCs w:val="32"/>
          <w:lang w:eastAsia="zh-CN"/>
        </w:rPr>
        <w:t>本年度调入一</w:t>
      </w:r>
      <w:r>
        <w:rPr>
          <w:rFonts w:hint="eastAsia" w:ascii="仿宋" w:hAnsi="仿宋" w:eastAsia="仿宋" w:cs="仿宋"/>
          <w:color w:val="auto"/>
          <w:sz w:val="32"/>
          <w:szCs w:val="32"/>
          <w:lang w:val="en-US" w:eastAsia="zh-CN"/>
        </w:rPr>
        <w:t>名人员，工资福利等基本支出预算进行了追加。</w:t>
      </w:r>
    </w:p>
    <w:p w14:paraId="0850948D">
      <w:pPr>
        <w:numPr>
          <w:ilvl w:val="-1"/>
          <w:numId w:val="0"/>
        </w:numPr>
        <w:spacing w:line="240" w:lineRule="auto"/>
        <w:ind w:firstLine="643" w:firstLineChars="200"/>
        <w:rPr>
          <w:rFonts w:hint="eastAsia" w:ascii="仿宋_GB2312" w:hAnsi="ˎ̥" w:eastAsia="仿宋_GB2312"/>
          <w:color w:val="auto"/>
          <w:sz w:val="32"/>
          <w:szCs w:val="32"/>
          <w:highlight w:val="none"/>
          <w:lang w:eastAsia="zh-CN"/>
        </w:rPr>
      </w:pPr>
      <w:r>
        <w:rPr>
          <w:rFonts w:hint="eastAsia" w:ascii="仿宋_GB2312" w:hAnsi="ˎ̥" w:eastAsia="仿宋_GB2312"/>
          <w:b/>
          <w:color w:val="auto"/>
          <w:sz w:val="32"/>
          <w:szCs w:val="32"/>
          <w:lang w:val="en-US" w:eastAsia="zh-CN"/>
        </w:rPr>
        <w:t>3.</w:t>
      </w:r>
      <w:r>
        <w:rPr>
          <w:rFonts w:hint="eastAsia" w:ascii="仿宋_GB2312" w:hAnsi="ˎ̥" w:eastAsia="仿宋_GB2312"/>
          <w:b/>
          <w:color w:val="auto"/>
          <w:sz w:val="32"/>
          <w:szCs w:val="32"/>
        </w:rPr>
        <w:t>一般公共服务</w:t>
      </w:r>
      <w:r>
        <w:rPr>
          <w:rFonts w:hint="eastAsia" w:ascii="仿宋_GB2312" w:hAnsi="ˎ̥" w:eastAsia="仿宋_GB2312"/>
          <w:b/>
          <w:color w:val="auto"/>
          <w:sz w:val="32"/>
          <w:szCs w:val="32"/>
          <w:highlight w:val="none"/>
          <w:lang w:eastAsia="zh-CN"/>
        </w:rPr>
        <w:t>支出</w:t>
      </w:r>
      <w:r>
        <w:rPr>
          <w:rFonts w:hint="eastAsia" w:ascii="仿宋_GB2312" w:hAnsi="ˎ̥" w:eastAsia="仿宋_GB2312"/>
          <w:b/>
          <w:color w:val="auto"/>
          <w:sz w:val="32"/>
          <w:szCs w:val="32"/>
        </w:rPr>
        <w:t>（类）</w:t>
      </w:r>
      <w:r>
        <w:rPr>
          <w:rFonts w:hint="eastAsia" w:ascii="仿宋_GB2312" w:hAnsi="ˎ̥" w:eastAsia="仿宋_GB2312"/>
          <w:b/>
          <w:color w:val="auto"/>
          <w:sz w:val="32"/>
          <w:szCs w:val="32"/>
          <w:lang w:eastAsia="zh-CN"/>
        </w:rPr>
        <w:t>财政</w:t>
      </w:r>
      <w:r>
        <w:rPr>
          <w:rFonts w:hint="eastAsia" w:ascii="仿宋_GB2312" w:hAnsi="ˎ̥" w:eastAsia="仿宋_GB2312"/>
          <w:b/>
          <w:color w:val="auto"/>
          <w:sz w:val="32"/>
          <w:szCs w:val="32"/>
        </w:rPr>
        <w:t>事务（款）其他财政事务支出</w:t>
      </w:r>
      <w:r>
        <w:rPr>
          <w:rFonts w:hint="eastAsia" w:ascii="仿宋_GB2312" w:hAnsi="ˎ̥" w:eastAsia="仿宋_GB2312"/>
          <w:b/>
          <w:color w:val="auto"/>
          <w:sz w:val="32"/>
          <w:szCs w:val="32"/>
          <w:lang w:eastAsia="zh-CN"/>
        </w:rPr>
        <w:t>（项）。</w:t>
      </w:r>
    </w:p>
    <w:p w14:paraId="45ACE326">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2.74</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27.4</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小于</w:t>
      </w:r>
      <w:r>
        <w:rPr>
          <w:rFonts w:hint="eastAsia" w:ascii="仿宋" w:hAnsi="仿宋" w:eastAsia="仿宋" w:cs="仿宋"/>
          <w:color w:val="auto"/>
          <w:sz w:val="32"/>
          <w:szCs w:val="32"/>
        </w:rPr>
        <w:t>预算数的主要原因：</w:t>
      </w:r>
      <w:r>
        <w:rPr>
          <w:rFonts w:hint="eastAsia" w:ascii="仿宋" w:hAnsi="仿宋" w:eastAsia="仿宋" w:cs="仿宋"/>
          <w:color w:val="auto"/>
          <w:sz w:val="32"/>
          <w:szCs w:val="32"/>
          <w:lang w:eastAsia="zh-CN"/>
        </w:rPr>
        <w:t>为落实</w:t>
      </w:r>
      <w:r>
        <w:rPr>
          <w:rFonts w:hint="eastAsia" w:ascii="仿宋" w:hAnsi="仿宋" w:eastAsia="仿宋" w:cs="仿宋"/>
          <w:color w:val="auto"/>
          <w:sz w:val="32"/>
          <w:szCs w:val="32"/>
          <w:lang w:val="en-US" w:eastAsia="zh-CN"/>
        </w:rPr>
        <w:t>过紧日子、厉行节约，</w:t>
      </w:r>
      <w:r>
        <w:rPr>
          <w:rFonts w:hint="eastAsia" w:ascii="仿宋" w:hAnsi="仿宋" w:eastAsia="仿宋" w:cs="仿宋"/>
          <w:color w:val="auto"/>
          <w:sz w:val="32"/>
          <w:szCs w:val="32"/>
          <w:lang w:eastAsia="zh-CN"/>
        </w:rPr>
        <w:t>减少了差旅费用支出。</w:t>
      </w:r>
    </w:p>
    <w:p w14:paraId="6024EAC4">
      <w:pPr>
        <w:numPr>
          <w:ilvl w:val="-1"/>
          <w:numId w:val="0"/>
        </w:numPr>
        <w:spacing w:line="240" w:lineRule="auto"/>
        <w:ind w:firstLine="643" w:firstLineChars="200"/>
        <w:rPr>
          <w:rFonts w:hint="eastAsia" w:ascii="仿宋_GB2312" w:hAnsi="ˎ̥" w:eastAsia="仿宋_GB2312"/>
          <w:color w:val="auto"/>
          <w:sz w:val="32"/>
          <w:szCs w:val="32"/>
        </w:rPr>
      </w:pPr>
      <w:r>
        <w:rPr>
          <w:rFonts w:hint="eastAsia" w:ascii="仿宋_GB2312" w:hAnsi="ˎ̥" w:eastAsia="仿宋_GB2312"/>
          <w:b/>
          <w:color w:val="auto"/>
          <w:sz w:val="32"/>
          <w:szCs w:val="32"/>
          <w:lang w:val="en-US" w:eastAsia="zh-CN"/>
        </w:rPr>
        <w:t>4.</w:t>
      </w:r>
      <w:r>
        <w:rPr>
          <w:rFonts w:hint="eastAsia" w:ascii="仿宋_GB2312" w:hAnsi="ˎ̥" w:eastAsia="仿宋_GB2312"/>
          <w:b/>
          <w:color w:val="auto"/>
          <w:sz w:val="32"/>
          <w:szCs w:val="32"/>
        </w:rPr>
        <w:t>社会保障和就业支出（类）行政事业单位养老支出（款）机关事业单位基本养老保险</w:t>
      </w:r>
      <w:r>
        <w:rPr>
          <w:rFonts w:hint="eastAsia" w:ascii="仿宋_GB2312" w:hAnsi="ˎ̥" w:eastAsia="仿宋_GB2312"/>
          <w:b/>
          <w:color w:val="auto"/>
          <w:sz w:val="32"/>
          <w:szCs w:val="32"/>
          <w:lang w:eastAsia="zh-CN"/>
        </w:rPr>
        <w:t>缴费支出（项）。</w:t>
      </w:r>
    </w:p>
    <w:p w14:paraId="64370CA8">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17.55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20.35</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116</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大于</w:t>
      </w:r>
      <w:r>
        <w:rPr>
          <w:rFonts w:hint="eastAsia" w:ascii="仿宋" w:hAnsi="仿宋" w:eastAsia="仿宋" w:cs="仿宋"/>
          <w:color w:val="auto"/>
          <w:sz w:val="32"/>
          <w:szCs w:val="32"/>
        </w:rPr>
        <w:t>预算数的主要原因：</w:t>
      </w:r>
      <w:r>
        <w:rPr>
          <w:rFonts w:hint="eastAsia" w:ascii="仿宋" w:hAnsi="仿宋" w:eastAsia="仿宋" w:cs="仿宋"/>
          <w:color w:val="auto"/>
          <w:sz w:val="32"/>
          <w:szCs w:val="32"/>
          <w:lang w:eastAsia="zh-CN"/>
        </w:rPr>
        <w:t>本年度调入一</w:t>
      </w:r>
      <w:r>
        <w:rPr>
          <w:rFonts w:hint="eastAsia" w:ascii="仿宋" w:hAnsi="仿宋" w:eastAsia="仿宋" w:cs="仿宋"/>
          <w:color w:val="auto"/>
          <w:sz w:val="32"/>
          <w:szCs w:val="32"/>
          <w:lang w:val="en-US" w:eastAsia="zh-CN"/>
        </w:rPr>
        <w:t>名人员，</w:t>
      </w:r>
      <w:r>
        <w:rPr>
          <w:rFonts w:hint="eastAsia" w:ascii="仿宋" w:hAnsi="仿宋" w:eastAsia="仿宋" w:cs="仿宋"/>
          <w:color w:val="auto"/>
          <w:sz w:val="32"/>
          <w:szCs w:val="32"/>
        </w:rPr>
        <w:t>机关事业单位基本养老保险</w:t>
      </w:r>
      <w:r>
        <w:rPr>
          <w:rFonts w:hint="eastAsia" w:ascii="仿宋" w:hAnsi="仿宋" w:eastAsia="仿宋" w:cs="仿宋"/>
          <w:color w:val="auto"/>
          <w:sz w:val="32"/>
          <w:szCs w:val="32"/>
          <w:lang w:val="en-US" w:eastAsia="zh-CN"/>
        </w:rPr>
        <w:t>支出预算进行了追加。</w:t>
      </w:r>
    </w:p>
    <w:p w14:paraId="3D880285">
      <w:pPr>
        <w:pStyle w:val="2"/>
        <w:spacing w:line="578" w:lineRule="exact"/>
        <w:ind w:firstLine="643" w:firstLineChars="200"/>
        <w:rPr>
          <w:rFonts w:hint="eastAsia" w:ascii="仿宋_GB2312" w:hAnsi="ˎ̥" w:eastAsia="仿宋_GB2312"/>
          <w:b/>
          <w:color w:val="auto"/>
          <w:sz w:val="32"/>
          <w:szCs w:val="32"/>
          <w:lang w:eastAsia="zh-CN"/>
        </w:rPr>
      </w:pPr>
      <w:r>
        <w:rPr>
          <w:rFonts w:hint="eastAsia" w:ascii="仿宋_GB2312" w:hAnsi="ˎ̥" w:eastAsia="仿宋_GB2312"/>
          <w:b/>
          <w:color w:val="auto"/>
          <w:sz w:val="32"/>
          <w:szCs w:val="32"/>
          <w:lang w:val="en-US" w:eastAsia="zh-CN"/>
        </w:rPr>
        <w:t>5.</w:t>
      </w:r>
      <w:r>
        <w:rPr>
          <w:rFonts w:hint="eastAsia" w:ascii="仿宋_GB2312" w:hAnsi="ˎ̥" w:eastAsia="仿宋_GB2312"/>
          <w:b/>
          <w:color w:val="auto"/>
          <w:sz w:val="32"/>
          <w:szCs w:val="32"/>
        </w:rPr>
        <w:t>社会保障和就业支出（类）行政事业单位养老支出（款）机关事业单位</w:t>
      </w:r>
      <w:r>
        <w:rPr>
          <w:rFonts w:hint="eastAsia" w:ascii="仿宋_GB2312" w:hAnsi="ˎ̥" w:eastAsia="仿宋_GB2312"/>
          <w:b/>
          <w:color w:val="auto"/>
          <w:sz w:val="32"/>
          <w:szCs w:val="32"/>
          <w:lang w:eastAsia="zh-CN"/>
        </w:rPr>
        <w:t>职业年金</w:t>
      </w:r>
      <w:r>
        <w:rPr>
          <w:rFonts w:hint="eastAsia" w:ascii="仿宋_GB2312" w:hAnsi="ˎ̥" w:eastAsia="仿宋_GB2312"/>
          <w:b/>
          <w:color w:val="auto"/>
          <w:sz w:val="32"/>
          <w:szCs w:val="32"/>
        </w:rPr>
        <w:t>缴费支出</w:t>
      </w:r>
      <w:r>
        <w:rPr>
          <w:rFonts w:hint="eastAsia" w:ascii="仿宋_GB2312" w:hAnsi="ˎ̥" w:eastAsia="仿宋_GB2312"/>
          <w:b/>
          <w:color w:val="auto"/>
          <w:sz w:val="32"/>
          <w:szCs w:val="32"/>
          <w:lang w:eastAsia="zh-CN"/>
        </w:rPr>
        <w:t>（项）。</w:t>
      </w:r>
    </w:p>
    <w:p w14:paraId="028D7889">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8.76</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20.21</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230.7</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大于</w:t>
      </w:r>
      <w:r>
        <w:rPr>
          <w:rFonts w:hint="eastAsia" w:ascii="仿宋" w:hAnsi="仿宋" w:eastAsia="仿宋" w:cs="仿宋"/>
          <w:color w:val="auto"/>
          <w:sz w:val="32"/>
          <w:szCs w:val="32"/>
        </w:rPr>
        <w:t>预算数的主要原因：</w:t>
      </w:r>
      <w:r>
        <w:rPr>
          <w:rFonts w:hint="eastAsia" w:ascii="仿宋" w:hAnsi="仿宋" w:eastAsia="仿宋" w:cs="仿宋"/>
          <w:color w:val="auto"/>
          <w:sz w:val="32"/>
          <w:szCs w:val="32"/>
          <w:lang w:eastAsia="zh-CN"/>
        </w:rPr>
        <w:t>一是本年度调入一</w:t>
      </w:r>
      <w:r>
        <w:rPr>
          <w:rFonts w:hint="eastAsia" w:ascii="仿宋" w:hAnsi="仿宋" w:eastAsia="仿宋" w:cs="仿宋"/>
          <w:color w:val="auto"/>
          <w:sz w:val="32"/>
          <w:szCs w:val="32"/>
          <w:lang w:val="en-US" w:eastAsia="zh-CN"/>
        </w:rPr>
        <w:t>名人员，</w:t>
      </w:r>
      <w:r>
        <w:rPr>
          <w:rFonts w:hint="eastAsia" w:ascii="仿宋" w:hAnsi="仿宋" w:eastAsia="仿宋" w:cs="仿宋"/>
          <w:color w:val="auto"/>
          <w:sz w:val="32"/>
          <w:szCs w:val="32"/>
        </w:rPr>
        <w:t>机关事业单位</w:t>
      </w:r>
      <w:r>
        <w:rPr>
          <w:rFonts w:hint="eastAsia" w:ascii="仿宋" w:hAnsi="仿宋" w:eastAsia="仿宋" w:cs="仿宋"/>
          <w:color w:val="auto"/>
          <w:sz w:val="32"/>
          <w:szCs w:val="32"/>
          <w:lang w:eastAsia="zh-CN"/>
        </w:rPr>
        <w:t>职业年金</w:t>
      </w:r>
      <w:r>
        <w:rPr>
          <w:rFonts w:hint="eastAsia" w:ascii="仿宋" w:hAnsi="仿宋" w:eastAsia="仿宋" w:cs="仿宋"/>
          <w:color w:val="auto"/>
          <w:sz w:val="32"/>
          <w:szCs w:val="32"/>
        </w:rPr>
        <w:t>缴费支出</w:t>
      </w:r>
      <w:r>
        <w:rPr>
          <w:rFonts w:hint="eastAsia" w:ascii="仿宋" w:hAnsi="仿宋" w:eastAsia="仿宋" w:cs="仿宋"/>
          <w:color w:val="auto"/>
          <w:sz w:val="32"/>
          <w:szCs w:val="32"/>
          <w:lang w:val="en-US" w:eastAsia="zh-CN"/>
        </w:rPr>
        <w:t>预算进行了追加</w:t>
      </w:r>
      <w:r>
        <w:rPr>
          <w:rFonts w:hint="eastAsia" w:ascii="仿宋" w:hAnsi="仿宋" w:eastAsia="仿宋" w:cs="仿宋"/>
          <w:sz w:val="32"/>
          <w:szCs w:val="32"/>
        </w:rPr>
        <w:t>；</w:t>
      </w:r>
      <w:r>
        <w:rPr>
          <w:rFonts w:hint="eastAsia" w:ascii="仿宋" w:hAnsi="仿宋" w:eastAsia="仿宋" w:cs="仿宋"/>
          <w:color w:val="auto"/>
          <w:sz w:val="32"/>
          <w:szCs w:val="32"/>
          <w:lang w:val="en-US" w:eastAsia="zh-CN"/>
        </w:rPr>
        <w:t>二是对调出人员以前年度年金进行了记实，追加了预算。</w:t>
      </w:r>
    </w:p>
    <w:p w14:paraId="1BF8B8DD">
      <w:pPr>
        <w:spacing w:line="240" w:lineRule="auto"/>
        <w:ind w:firstLine="643" w:firstLineChars="200"/>
        <w:rPr>
          <w:rFonts w:hint="eastAsia" w:ascii="仿宋_GB2312" w:hAnsi="ˎ̥" w:eastAsia="仿宋_GB2312"/>
          <w:b/>
          <w:color w:val="auto"/>
          <w:sz w:val="32"/>
          <w:szCs w:val="32"/>
          <w:lang w:eastAsia="zh-CN"/>
        </w:rPr>
      </w:pPr>
      <w:r>
        <w:rPr>
          <w:rFonts w:hint="eastAsia" w:ascii="仿宋_GB2312" w:hAnsi="ˎ̥" w:eastAsia="仿宋_GB2312"/>
          <w:b/>
          <w:color w:val="auto"/>
          <w:sz w:val="32"/>
          <w:szCs w:val="32"/>
          <w:lang w:val="en-US" w:eastAsia="zh-CN"/>
        </w:rPr>
        <w:t>6.</w:t>
      </w:r>
      <w:r>
        <w:rPr>
          <w:rFonts w:hint="eastAsia" w:ascii="仿宋_GB2312" w:hAnsi="ˎ̥" w:eastAsia="仿宋_GB2312"/>
          <w:b/>
          <w:color w:val="auto"/>
          <w:sz w:val="32"/>
          <w:szCs w:val="32"/>
        </w:rPr>
        <w:t>卫生健康支出（类）行政事业单位医疗（款）事业单位医疗</w:t>
      </w:r>
      <w:r>
        <w:rPr>
          <w:rFonts w:hint="eastAsia" w:ascii="仿宋_GB2312" w:hAnsi="ˎ̥" w:eastAsia="仿宋_GB2312"/>
          <w:b/>
          <w:color w:val="auto"/>
          <w:sz w:val="32"/>
          <w:szCs w:val="32"/>
          <w:lang w:eastAsia="zh-CN"/>
        </w:rPr>
        <w:t>（项）。</w:t>
      </w:r>
    </w:p>
    <w:p w14:paraId="19A5B16D">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6.04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7.05</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116.7</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大于</w:t>
      </w:r>
      <w:r>
        <w:rPr>
          <w:rFonts w:hint="eastAsia" w:ascii="仿宋" w:hAnsi="仿宋" w:eastAsia="仿宋" w:cs="仿宋"/>
          <w:color w:val="auto"/>
          <w:sz w:val="32"/>
          <w:szCs w:val="32"/>
        </w:rPr>
        <w:t>预算数的主要原因：</w:t>
      </w:r>
      <w:r>
        <w:rPr>
          <w:rFonts w:hint="eastAsia" w:ascii="仿宋" w:hAnsi="仿宋" w:eastAsia="仿宋" w:cs="仿宋"/>
          <w:color w:val="auto"/>
          <w:sz w:val="32"/>
          <w:szCs w:val="32"/>
          <w:lang w:eastAsia="zh-CN"/>
        </w:rPr>
        <w:t>本年度调入一</w:t>
      </w:r>
      <w:r>
        <w:rPr>
          <w:rFonts w:hint="eastAsia" w:ascii="仿宋" w:hAnsi="仿宋" w:eastAsia="仿宋" w:cs="仿宋"/>
          <w:color w:val="auto"/>
          <w:sz w:val="32"/>
          <w:szCs w:val="32"/>
          <w:lang w:val="en-US" w:eastAsia="zh-CN"/>
        </w:rPr>
        <w:t>名人员，</w:t>
      </w:r>
      <w:r>
        <w:rPr>
          <w:rFonts w:hint="eastAsia" w:ascii="仿宋" w:hAnsi="仿宋" w:eastAsia="仿宋" w:cs="仿宋"/>
          <w:color w:val="auto"/>
          <w:sz w:val="32"/>
          <w:szCs w:val="32"/>
        </w:rPr>
        <w:t>事业单位医疗支出</w:t>
      </w:r>
      <w:r>
        <w:rPr>
          <w:rFonts w:hint="eastAsia" w:ascii="仿宋" w:hAnsi="仿宋" w:eastAsia="仿宋" w:cs="仿宋"/>
          <w:color w:val="auto"/>
          <w:sz w:val="32"/>
          <w:szCs w:val="32"/>
          <w:lang w:val="en-US" w:eastAsia="zh-CN"/>
        </w:rPr>
        <w:t>预算进行了追加。</w:t>
      </w:r>
    </w:p>
    <w:p w14:paraId="680AD3C3">
      <w:pPr>
        <w:widowControl w:val="0"/>
        <w:wordWrap/>
        <w:adjustRightInd/>
        <w:snapToGrid/>
        <w:spacing w:line="578" w:lineRule="exact"/>
        <w:ind w:firstLine="643" w:firstLineChars="200"/>
        <w:textAlignment w:val="auto"/>
        <w:rPr>
          <w:rFonts w:hint="eastAsia" w:ascii="仿宋" w:hAnsi="仿宋" w:eastAsia="仿宋" w:cs="仿宋"/>
          <w:b/>
          <w:color w:val="auto"/>
          <w:sz w:val="32"/>
          <w:szCs w:val="32"/>
          <w:lang w:eastAsia="zh-CN"/>
        </w:rPr>
      </w:pPr>
      <w:r>
        <w:rPr>
          <w:rFonts w:hint="eastAsia" w:ascii="仿宋" w:hAnsi="仿宋" w:eastAsia="仿宋" w:cs="仿宋"/>
          <w:b/>
          <w:color w:val="auto"/>
          <w:sz w:val="32"/>
          <w:szCs w:val="32"/>
          <w:lang w:val="en-US" w:eastAsia="zh-CN"/>
        </w:rPr>
        <w:t>7.</w:t>
      </w:r>
      <w:r>
        <w:rPr>
          <w:rFonts w:hint="eastAsia" w:ascii="仿宋" w:hAnsi="仿宋" w:eastAsia="仿宋" w:cs="仿宋"/>
          <w:b/>
          <w:color w:val="auto"/>
          <w:sz w:val="32"/>
          <w:szCs w:val="32"/>
        </w:rPr>
        <w:t>住房保障支出（类）住房改革支出（款）住房公积金</w:t>
      </w:r>
      <w:r>
        <w:rPr>
          <w:rFonts w:hint="eastAsia" w:ascii="仿宋" w:hAnsi="仿宋" w:eastAsia="仿宋" w:cs="仿宋"/>
          <w:b/>
          <w:color w:val="auto"/>
          <w:sz w:val="32"/>
          <w:szCs w:val="32"/>
          <w:lang w:eastAsia="zh-CN"/>
        </w:rPr>
        <w:t>（项）。</w:t>
      </w:r>
    </w:p>
    <w:p w14:paraId="0668FF5C">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14.72</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17.1</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116.2</w:t>
      </w:r>
      <w:r>
        <w:rPr>
          <w:rFonts w:hint="eastAsia" w:ascii="仿宋" w:hAnsi="仿宋" w:eastAsia="仿宋" w:cs="仿宋"/>
          <w:color w:val="auto"/>
          <w:sz w:val="32"/>
          <w:szCs w:val="32"/>
        </w:rPr>
        <w:t>%。决算数</w:t>
      </w:r>
      <w:r>
        <w:rPr>
          <w:rFonts w:hint="eastAsia" w:ascii="仿宋" w:hAnsi="仿宋" w:eastAsia="仿宋" w:cs="仿宋"/>
          <w:color w:val="auto"/>
          <w:sz w:val="32"/>
          <w:szCs w:val="32"/>
          <w:lang w:val="en-US" w:eastAsia="zh-CN"/>
        </w:rPr>
        <w:t>大于</w:t>
      </w:r>
      <w:r>
        <w:rPr>
          <w:rFonts w:hint="eastAsia" w:ascii="仿宋" w:hAnsi="仿宋" w:eastAsia="仿宋" w:cs="仿宋"/>
          <w:color w:val="auto"/>
          <w:sz w:val="32"/>
          <w:szCs w:val="32"/>
        </w:rPr>
        <w:t>预算数的主要原因：</w:t>
      </w:r>
      <w:r>
        <w:rPr>
          <w:rFonts w:hint="eastAsia" w:ascii="仿宋" w:hAnsi="仿宋" w:eastAsia="仿宋" w:cs="仿宋"/>
          <w:color w:val="auto"/>
          <w:sz w:val="32"/>
          <w:szCs w:val="32"/>
          <w:lang w:eastAsia="zh-CN"/>
        </w:rPr>
        <w:t>本年度调入一</w:t>
      </w:r>
      <w:r>
        <w:rPr>
          <w:rFonts w:hint="eastAsia" w:ascii="仿宋" w:hAnsi="仿宋" w:eastAsia="仿宋" w:cs="仿宋"/>
          <w:color w:val="auto"/>
          <w:sz w:val="32"/>
          <w:szCs w:val="32"/>
          <w:lang w:val="en-US" w:eastAsia="zh-CN"/>
        </w:rPr>
        <w:t>名人员，</w:t>
      </w:r>
      <w:r>
        <w:rPr>
          <w:rFonts w:hint="eastAsia" w:ascii="仿宋" w:hAnsi="仿宋" w:eastAsia="仿宋" w:cs="仿宋"/>
          <w:color w:val="auto"/>
          <w:sz w:val="32"/>
          <w:szCs w:val="32"/>
        </w:rPr>
        <w:t>住房公积金支出</w:t>
      </w:r>
      <w:r>
        <w:rPr>
          <w:rFonts w:hint="eastAsia" w:ascii="仿宋" w:hAnsi="仿宋" w:eastAsia="仿宋" w:cs="仿宋"/>
          <w:color w:val="auto"/>
          <w:sz w:val="32"/>
          <w:szCs w:val="32"/>
          <w:lang w:val="en-US" w:eastAsia="zh-CN"/>
        </w:rPr>
        <w:t>预算进行了追加。</w:t>
      </w:r>
    </w:p>
    <w:p w14:paraId="4A102877">
      <w:pPr>
        <w:widowControl w:val="0"/>
        <w:wordWrap/>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14:paraId="0DB40272">
      <w:pPr>
        <w:widowControl w:val="0"/>
        <w:tabs>
          <w:tab w:val="center" w:pos="4473"/>
        </w:tabs>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238.87</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223.22</w:t>
      </w:r>
      <w:r>
        <w:rPr>
          <w:rFonts w:hint="eastAsia" w:ascii="仿宋" w:hAnsi="仿宋" w:eastAsia="仿宋" w:cs="仿宋"/>
          <w:color w:val="auto"/>
          <w:sz w:val="32"/>
          <w:szCs w:val="32"/>
        </w:rPr>
        <w:t>万元，主要包括：工资福利支出中的基本工资、津贴补贴、绩效工资、机关事业单位基本养老保险缴费、职业年金缴费、职工基本医疗保险缴费、其他社会保障缴费、住房公积金、医疗费、其他工资福利支出；对个人和家庭的补助中的生活补助。公用经费</w:t>
      </w:r>
      <w:r>
        <w:rPr>
          <w:rFonts w:hint="eastAsia" w:ascii="仿宋" w:hAnsi="仿宋" w:eastAsia="仿宋" w:cs="仿宋"/>
          <w:color w:val="auto"/>
          <w:sz w:val="32"/>
          <w:szCs w:val="32"/>
          <w:lang w:val="en-US"/>
        </w:rPr>
        <w:t>15.65</w:t>
      </w:r>
      <w:r>
        <w:rPr>
          <w:rFonts w:hint="eastAsia" w:ascii="仿宋" w:hAnsi="仿宋" w:eastAsia="仿宋" w:cs="仿宋"/>
          <w:color w:val="auto"/>
          <w:sz w:val="32"/>
          <w:szCs w:val="32"/>
        </w:rPr>
        <w:t>万元，主要包括：</w:t>
      </w:r>
      <w:r>
        <w:rPr>
          <w:rFonts w:hint="eastAsia" w:ascii="仿宋" w:hAnsi="仿宋" w:eastAsia="仿宋" w:cs="仿宋"/>
          <w:color w:val="auto"/>
          <w:sz w:val="32"/>
          <w:szCs w:val="32"/>
          <w:highlight w:val="none"/>
        </w:rPr>
        <w:t>商品和服务支出中的办公费、手续费、邮电费、差旅费、租赁费、工会经费、</w:t>
      </w:r>
      <w:r>
        <w:rPr>
          <w:rFonts w:hint="eastAsia" w:ascii="仿宋" w:hAnsi="仿宋" w:eastAsia="仿宋" w:cs="仿宋"/>
          <w:sz w:val="32"/>
          <w:szCs w:val="32"/>
          <w:highlight w:val="none"/>
        </w:rPr>
        <w:t>其他交通费用</w:t>
      </w:r>
      <w:r>
        <w:rPr>
          <w:rFonts w:hint="eastAsia" w:ascii="仿宋" w:hAnsi="仿宋" w:eastAsia="仿宋" w:cs="仿宋"/>
          <w:sz w:val="32"/>
          <w:szCs w:val="32"/>
          <w:highlight w:val="none"/>
          <w:lang w:eastAsia="zh-CN"/>
        </w:rPr>
        <w:t>、</w:t>
      </w:r>
      <w:r>
        <w:rPr>
          <w:rFonts w:hint="eastAsia" w:ascii="仿宋" w:hAnsi="仿宋" w:eastAsia="仿宋" w:cs="仿宋"/>
          <w:color w:val="auto"/>
          <w:sz w:val="32"/>
          <w:szCs w:val="32"/>
          <w:highlight w:val="none"/>
        </w:rPr>
        <w:t>其他商品和服务支出；资本性支出中的办公设备购置。</w:t>
      </w:r>
    </w:p>
    <w:p w14:paraId="68C315BA">
      <w:pPr>
        <w:widowControl w:val="0"/>
        <w:tabs>
          <w:tab w:val="center" w:pos="4473"/>
        </w:tabs>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14:paraId="0C9A1A8A">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我单位无政府性基金预算财政拨款支出。</w:t>
      </w:r>
    </w:p>
    <w:p w14:paraId="75BDA057">
      <w:pPr>
        <w:widowControl w:val="0"/>
        <w:tabs>
          <w:tab w:val="center" w:pos="4473"/>
        </w:tabs>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14:paraId="5E2332AE">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我单位无</w:t>
      </w:r>
      <w:r>
        <w:rPr>
          <w:rFonts w:hint="eastAsia" w:ascii="仿宋" w:hAnsi="仿宋" w:eastAsia="仿宋" w:cs="仿宋"/>
          <w:color w:val="auto"/>
          <w:sz w:val="32"/>
          <w:szCs w:val="32"/>
          <w:highlight w:val="none"/>
          <w:lang w:eastAsia="zh-CN"/>
        </w:rPr>
        <w:t>国有资本经营预算财政拨款支出。</w:t>
      </w:r>
    </w:p>
    <w:p w14:paraId="49274525">
      <w:pPr>
        <w:widowControl w:val="0"/>
        <w:wordWrap/>
        <w:adjustRightInd/>
        <w:snapToGrid/>
        <w:spacing w:line="578" w:lineRule="exact"/>
        <w:ind w:firstLine="640" w:firstLineChars="200"/>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14:paraId="4B327CEF">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14:paraId="5530C728">
      <w:pPr>
        <w:widowControl w:val="0"/>
        <w:tabs>
          <w:tab w:val="center" w:pos="4473"/>
        </w:tabs>
        <w:wordWrap/>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rPr>
        <w:t>2025</w:t>
      </w:r>
      <w:r>
        <w:rPr>
          <w:rFonts w:hint="eastAsia" w:ascii="仿宋" w:hAnsi="仿宋" w:eastAsia="仿宋" w:cs="仿宋"/>
          <w:sz w:val="32"/>
          <w:szCs w:val="32"/>
          <w:highlight w:val="none"/>
        </w:rPr>
        <w:t>年度财政拨款“三公”经费支出预算为</w:t>
      </w:r>
      <w:r>
        <w:rPr>
          <w:rFonts w:hint="eastAsia" w:ascii="仿宋" w:hAnsi="仿宋" w:eastAsia="仿宋" w:cs="仿宋"/>
          <w:sz w:val="32"/>
          <w:szCs w:val="32"/>
          <w:highlight w:val="none"/>
          <w:lang w:val="en-US"/>
        </w:rPr>
        <w:t>0.47</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%，与</w:t>
      </w:r>
      <w:r>
        <w:rPr>
          <w:rFonts w:hint="eastAsia" w:ascii="仿宋" w:hAnsi="仿宋" w:eastAsia="仿宋" w:cs="仿宋"/>
          <w:sz w:val="32"/>
          <w:szCs w:val="32"/>
          <w:highlight w:val="none"/>
          <w:lang w:val="en-US"/>
        </w:rPr>
        <w:t>2024</w:t>
      </w:r>
      <w:r>
        <w:rPr>
          <w:rFonts w:hint="eastAsia" w:ascii="仿宋" w:hAnsi="仿宋" w:eastAsia="仿宋" w:cs="仿宋"/>
          <w:sz w:val="32"/>
          <w:szCs w:val="32"/>
          <w:highlight w:val="none"/>
        </w:rPr>
        <w:t>年度相比，“三公”经费支出减少</w:t>
      </w:r>
      <w:r>
        <w:rPr>
          <w:rFonts w:hint="eastAsia" w:ascii="仿宋" w:hAnsi="仿宋" w:eastAsia="仿宋" w:cs="仿宋"/>
          <w:sz w:val="32"/>
          <w:szCs w:val="32"/>
          <w:highlight w:val="none"/>
          <w:lang w:val="en-US" w:eastAsia="zh-CN"/>
        </w:rPr>
        <w:t>0.1</w:t>
      </w:r>
      <w:r>
        <w:rPr>
          <w:rFonts w:hint="eastAsia" w:ascii="仿宋" w:hAnsi="仿宋" w:eastAsia="仿宋" w:cs="仿宋"/>
          <w:sz w:val="32"/>
          <w:szCs w:val="32"/>
          <w:highlight w:val="none"/>
        </w:rPr>
        <w:t>万元，下降</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%，主要原因是</w:t>
      </w:r>
      <w:r>
        <w:rPr>
          <w:rFonts w:hint="eastAsia" w:ascii="仿宋" w:hAnsi="仿宋" w:eastAsia="仿宋" w:cs="仿宋"/>
          <w:sz w:val="32"/>
          <w:szCs w:val="32"/>
          <w:highlight w:val="none"/>
          <w:lang w:eastAsia="zh-CN"/>
        </w:rPr>
        <w:t>为落实</w:t>
      </w:r>
      <w:r>
        <w:rPr>
          <w:rFonts w:hint="eastAsia" w:ascii="仿宋" w:hAnsi="仿宋" w:eastAsia="仿宋" w:cs="仿宋"/>
          <w:sz w:val="32"/>
          <w:szCs w:val="32"/>
          <w:highlight w:val="none"/>
          <w:lang w:val="en-US" w:eastAsia="zh-CN"/>
        </w:rPr>
        <w:t>过紧日子、厉行节约，</w:t>
      </w:r>
      <w:r>
        <w:rPr>
          <w:rFonts w:hint="eastAsia" w:ascii="仿宋" w:hAnsi="仿宋" w:eastAsia="仿宋" w:cs="仿宋"/>
          <w:sz w:val="32"/>
          <w:szCs w:val="32"/>
          <w:highlight w:val="none"/>
          <w:lang w:eastAsia="zh-CN"/>
        </w:rPr>
        <w:t>减少了</w:t>
      </w:r>
      <w:r>
        <w:rPr>
          <w:rFonts w:hint="eastAsia" w:ascii="仿宋" w:hAnsi="仿宋" w:eastAsia="仿宋" w:cs="仿宋"/>
          <w:sz w:val="32"/>
          <w:szCs w:val="32"/>
          <w:highlight w:val="none"/>
        </w:rPr>
        <w:t>“三公”经费支出</w:t>
      </w:r>
      <w:r>
        <w:rPr>
          <w:rFonts w:hint="eastAsia" w:ascii="仿宋" w:hAnsi="仿宋" w:eastAsia="仿宋" w:cs="仿宋"/>
          <w:sz w:val="32"/>
          <w:szCs w:val="32"/>
          <w:highlight w:val="none"/>
          <w:lang w:eastAsia="zh-CN"/>
        </w:rPr>
        <w:t>。</w:t>
      </w:r>
    </w:p>
    <w:p w14:paraId="5D996019">
      <w:pPr>
        <w:widowControl w:val="0"/>
        <w:wordWrap/>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（二）财政拨款“三公”经费支出决算具体情况说明</w:t>
      </w:r>
    </w:p>
    <w:p w14:paraId="3ACFE7FB">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年度财政拨款“三公”经费支出决算中，因公出国（境）费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%；公务用车购置及运行维护费支出决算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%；公务接待费支出决算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%。具体情况如下：</w:t>
      </w:r>
    </w:p>
    <w:p w14:paraId="1BE8FE8E">
      <w:pPr>
        <w:widowControl w:val="0"/>
        <w:wordWrap/>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1.因公出国（境）费</w:t>
      </w:r>
      <w:r>
        <w:rPr>
          <w:rFonts w:hint="eastAsia" w:ascii="仿宋" w:hAnsi="仿宋" w:eastAsia="仿宋" w:cs="仿宋"/>
          <w:b/>
          <w:color w:val="auto"/>
          <w:sz w:val="32"/>
          <w:szCs w:val="32"/>
          <w:lang w:val="en-US" w:eastAsia="zh-CN"/>
        </w:rPr>
        <w:t>用</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0B154479">
      <w:pPr>
        <w:widowControl w:val="0"/>
        <w:wordWrap/>
        <w:adjustRightInd/>
        <w:snapToGrid/>
        <w:spacing w:line="578" w:lineRule="exact"/>
        <w:ind w:firstLine="643" w:firstLineChars="200"/>
        <w:textAlignment w:val="auto"/>
        <w:rPr>
          <w:rFonts w:hint="eastAsia" w:ascii="仿宋" w:hAnsi="仿宋" w:eastAsia="仿宋" w:cs="仿宋"/>
          <w:bCs/>
          <w:color w:val="auto"/>
          <w:sz w:val="32"/>
          <w:szCs w:val="32"/>
        </w:rPr>
      </w:pPr>
      <w:r>
        <w:rPr>
          <w:rFonts w:hint="eastAsia" w:ascii="仿宋" w:hAnsi="仿宋" w:eastAsia="仿宋" w:cs="仿宋"/>
          <w:b/>
          <w:color w:val="auto"/>
          <w:sz w:val="32"/>
          <w:szCs w:val="32"/>
        </w:rPr>
        <w:t>2.公务用车购置及运行维护费</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73F68F52">
      <w:pPr>
        <w:widowControl w:val="0"/>
        <w:wordWrap/>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3.公务接待费</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万元，其中：</w:t>
      </w:r>
    </w:p>
    <w:p w14:paraId="56B4AD25">
      <w:pPr>
        <w:widowControl w:val="0"/>
        <w:wordWrap/>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国内接待费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万元，国内公务接待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p>
    <w:p w14:paraId="0A016051">
      <w:pPr>
        <w:widowControl w:val="0"/>
        <w:wordWrap/>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国（境）外接待费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万元，国（境）外公务接待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p>
    <w:p w14:paraId="08B0A54E">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公务接待费支出决算数比预算数减少</w:t>
      </w:r>
      <w:r>
        <w:rPr>
          <w:rFonts w:hint="eastAsia" w:ascii="仿宋" w:hAnsi="仿宋" w:eastAsia="仿宋" w:cs="仿宋"/>
          <w:color w:val="auto"/>
          <w:sz w:val="32"/>
          <w:szCs w:val="32"/>
          <w:lang w:val="en-US" w:eastAsia="zh-CN"/>
        </w:rPr>
        <w:t>0.47</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w:t>
      </w:r>
      <w:r>
        <w:rPr>
          <w:rFonts w:hint="eastAsia" w:ascii="仿宋" w:hAnsi="仿宋" w:eastAsia="仿宋" w:cs="仿宋"/>
          <w:bCs/>
          <w:color w:val="auto"/>
          <w:sz w:val="32"/>
          <w:szCs w:val="32"/>
        </w:rPr>
        <w:t>公务接待费</w:t>
      </w:r>
      <w:r>
        <w:rPr>
          <w:rFonts w:hint="eastAsia" w:ascii="仿宋" w:hAnsi="仿宋" w:eastAsia="仿宋" w:cs="仿宋"/>
          <w:color w:val="auto"/>
          <w:sz w:val="32"/>
          <w:szCs w:val="32"/>
        </w:rPr>
        <w:t>支出减少</w:t>
      </w:r>
      <w:r>
        <w:rPr>
          <w:rFonts w:hint="eastAsia" w:ascii="仿宋" w:hAnsi="仿宋" w:eastAsia="仿宋" w:cs="仿宋"/>
          <w:color w:val="auto"/>
          <w:sz w:val="32"/>
          <w:szCs w:val="32"/>
          <w:lang w:val="en-US" w:eastAsia="zh-CN"/>
        </w:rPr>
        <w:t>0.1</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eastAsia="zh-CN"/>
        </w:rPr>
        <w:t>为落实</w:t>
      </w:r>
      <w:r>
        <w:rPr>
          <w:rFonts w:hint="eastAsia" w:ascii="仿宋" w:hAnsi="仿宋" w:eastAsia="仿宋" w:cs="仿宋"/>
          <w:color w:val="auto"/>
          <w:sz w:val="32"/>
          <w:szCs w:val="32"/>
          <w:lang w:val="en-US" w:eastAsia="zh-CN"/>
        </w:rPr>
        <w:t>过紧日子、厉行节约，</w:t>
      </w:r>
      <w:r>
        <w:rPr>
          <w:rFonts w:hint="eastAsia" w:ascii="仿宋" w:hAnsi="仿宋" w:eastAsia="仿宋" w:cs="仿宋"/>
          <w:color w:val="auto"/>
          <w:sz w:val="32"/>
          <w:szCs w:val="32"/>
          <w:lang w:eastAsia="zh-CN"/>
        </w:rPr>
        <w:t>减少了</w:t>
      </w:r>
      <w:r>
        <w:rPr>
          <w:rFonts w:hint="eastAsia" w:ascii="楷体" w:hAnsi="楷体" w:eastAsia="楷体" w:cs="楷体"/>
          <w:bCs/>
          <w:color w:val="auto"/>
          <w:sz w:val="32"/>
          <w:szCs w:val="32"/>
        </w:rPr>
        <w:t>“</w:t>
      </w:r>
      <w:r>
        <w:rPr>
          <w:rFonts w:hint="eastAsia" w:ascii="仿宋" w:hAnsi="仿宋" w:eastAsia="仿宋" w:cs="仿宋"/>
          <w:color w:val="auto"/>
          <w:sz w:val="32"/>
          <w:szCs w:val="32"/>
        </w:rPr>
        <w:t>三公”经费支出</w:t>
      </w:r>
      <w:r>
        <w:rPr>
          <w:rFonts w:hint="eastAsia" w:ascii="仿宋" w:hAnsi="仿宋" w:eastAsia="仿宋" w:cs="仿宋"/>
          <w:color w:val="auto"/>
          <w:sz w:val="32"/>
          <w:szCs w:val="32"/>
          <w:lang w:eastAsia="zh-CN"/>
        </w:rPr>
        <w:t>。</w:t>
      </w:r>
    </w:p>
    <w:p w14:paraId="33B89144">
      <w:pPr>
        <w:widowControl w:val="0"/>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14:paraId="2A9EB66C">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（一）绩效管理工作开展情况</w:t>
      </w:r>
    </w:p>
    <w:p w14:paraId="4D6CF0FF">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根据预算管理要求，我单位组织对</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年度一般公共预算项目支出全面开展绩效自评</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val="en-US" w:eastAsia="zh-CN"/>
        </w:rPr>
        <w:t>共涉及资金1,580.92万元，占一般公共预算项目支出总额的100%</w:t>
      </w:r>
      <w:r>
        <w:rPr>
          <w:rFonts w:hint="eastAsia" w:ascii="仿宋" w:hAnsi="仿宋" w:eastAsia="仿宋" w:cs="仿宋"/>
          <w:color w:val="auto"/>
          <w:sz w:val="32"/>
          <w:szCs w:val="32"/>
        </w:rPr>
        <w:t>。</w:t>
      </w:r>
    </w:p>
    <w:p w14:paraId="2092649A">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部门评价和整体支出绩效评价工作是由部门开展，我单位本年度无此相关工作。</w:t>
      </w:r>
    </w:p>
    <w:p w14:paraId="1677CF21">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（二）部门决算中项目绩效自评结果</w:t>
      </w:r>
    </w:p>
    <w:p w14:paraId="5AD83727">
      <w:pPr>
        <w:widowControl w:val="0"/>
        <w:wordWrap/>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我单位在部门决算中反映信息系统运行维护</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海南省财政预算管理一体化系统（2022）</w:t>
      </w:r>
      <w:r>
        <w:rPr>
          <w:rFonts w:hint="eastAsia" w:ascii="仿宋" w:hAnsi="仿宋" w:eastAsia="仿宋" w:cs="仿宋"/>
          <w:color w:val="auto"/>
          <w:sz w:val="32"/>
          <w:szCs w:val="32"/>
          <w:lang w:eastAsia="zh-CN"/>
        </w:rPr>
        <w:t>、省财政电子票据跨省报销系统、综合运行事务、省预算管理一体化系统升级改造（2024年）、财政综合管理信息平台、省电子凭证会计数据标准化平台建设</w:t>
      </w:r>
      <w:r>
        <w:rPr>
          <w:rFonts w:hint="eastAsia" w:ascii="仿宋" w:hAnsi="仿宋" w:eastAsia="仿宋" w:cs="仿宋"/>
          <w:color w:val="auto"/>
          <w:sz w:val="32"/>
          <w:szCs w:val="32"/>
        </w:rPr>
        <w:t>等</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个项目绩效自评结果。</w:t>
      </w:r>
    </w:p>
    <w:p w14:paraId="145F3163">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项目绩效自评表：</w:t>
      </w:r>
      <w:r>
        <w:rPr>
          <w:rFonts w:hint="eastAsia" w:ascii="仿宋_GB2312" w:eastAsia="仿宋_GB2312"/>
          <w:color w:val="auto"/>
          <w:sz w:val="32"/>
          <w:szCs w:val="32"/>
          <w:highlight w:val="none"/>
          <w:lang w:val="en-US" w:eastAsia="zh-CN"/>
        </w:rPr>
        <w:t>见附件3</w:t>
      </w:r>
    </w:p>
    <w:p w14:paraId="44825A25">
      <w:pPr>
        <w:spacing w:line="578"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信息系统运行维护项目绩效自评报告：</w:t>
      </w:r>
      <w:r>
        <w:rPr>
          <w:rFonts w:hint="eastAsia" w:ascii="仿宋" w:hAnsi="仿宋" w:eastAsia="仿宋" w:cs="仿宋"/>
          <w:color w:val="auto"/>
          <w:sz w:val="32"/>
          <w:szCs w:val="32"/>
          <w:highlight w:val="none"/>
        </w:rPr>
        <w:t>根</w:t>
      </w:r>
      <w:r>
        <w:rPr>
          <w:rFonts w:hint="eastAsia" w:ascii="仿宋" w:hAnsi="仿宋" w:eastAsia="仿宋" w:cs="仿宋"/>
          <w:color w:val="auto"/>
          <w:sz w:val="32"/>
          <w:szCs w:val="32"/>
          <w:lang w:eastAsia="zh-CN"/>
        </w:rPr>
        <w:t>据年初设定的绩效目标，项目绩效自评得分为</w:t>
      </w:r>
      <w:r>
        <w:rPr>
          <w:rFonts w:hint="eastAsia" w:ascii="仿宋" w:hAnsi="仿宋" w:eastAsia="仿宋" w:cs="仿宋"/>
          <w:color w:val="auto"/>
          <w:sz w:val="32"/>
          <w:szCs w:val="32"/>
          <w:lang w:val="en-US" w:eastAsia="zh-CN"/>
        </w:rPr>
        <w:t>99.77</w:t>
      </w:r>
      <w:r>
        <w:rPr>
          <w:rFonts w:hint="eastAsia" w:ascii="仿宋" w:hAnsi="仿宋" w:eastAsia="仿宋" w:cs="仿宋"/>
          <w:color w:val="auto"/>
          <w:sz w:val="32"/>
          <w:szCs w:val="32"/>
          <w:lang w:eastAsia="zh-CN"/>
        </w:rPr>
        <w:t>分。全年预算数为</w:t>
      </w:r>
      <w:r>
        <w:rPr>
          <w:rFonts w:hint="eastAsia" w:ascii="仿宋" w:hAnsi="仿宋" w:eastAsia="仿宋" w:cs="仿宋"/>
          <w:color w:val="auto"/>
          <w:sz w:val="32"/>
          <w:szCs w:val="32"/>
          <w:lang w:val="en-US" w:eastAsia="zh-CN"/>
        </w:rPr>
        <w:t>530.71</w:t>
      </w:r>
      <w:r>
        <w:rPr>
          <w:rFonts w:hint="eastAsia" w:ascii="仿宋" w:hAnsi="仿宋" w:eastAsia="仿宋" w:cs="仿宋"/>
          <w:color w:val="auto"/>
          <w:sz w:val="32"/>
          <w:szCs w:val="32"/>
          <w:lang w:eastAsia="zh-CN"/>
        </w:rPr>
        <w:t>万元，执行数为</w:t>
      </w:r>
      <w:r>
        <w:rPr>
          <w:rFonts w:hint="eastAsia" w:ascii="仿宋" w:hAnsi="仿宋" w:eastAsia="仿宋" w:cs="仿宋"/>
          <w:color w:val="auto"/>
          <w:sz w:val="32"/>
          <w:szCs w:val="32"/>
          <w:lang w:val="en-US" w:eastAsia="zh-CN"/>
        </w:rPr>
        <w:t>518.47</w:t>
      </w:r>
      <w:r>
        <w:rPr>
          <w:rFonts w:hint="eastAsia" w:ascii="仿宋" w:hAnsi="仿宋" w:eastAsia="仿宋" w:cs="仿宋"/>
          <w:color w:val="auto"/>
          <w:sz w:val="32"/>
          <w:szCs w:val="32"/>
          <w:lang w:eastAsia="zh-CN"/>
        </w:rPr>
        <w:t>万元，完成预算的</w:t>
      </w:r>
      <w:r>
        <w:rPr>
          <w:rFonts w:hint="eastAsia" w:ascii="仿宋" w:hAnsi="仿宋" w:eastAsia="仿宋" w:cs="仿宋"/>
          <w:color w:val="auto"/>
          <w:sz w:val="32"/>
          <w:szCs w:val="32"/>
          <w:lang w:val="en-US" w:eastAsia="zh-CN"/>
        </w:rPr>
        <w:t>97.7</w:t>
      </w:r>
      <w:r>
        <w:rPr>
          <w:rFonts w:hint="eastAsia" w:ascii="仿宋" w:hAnsi="仿宋" w:eastAsia="仿宋" w:cs="仿宋"/>
          <w:color w:val="auto"/>
          <w:sz w:val="32"/>
          <w:szCs w:val="32"/>
          <w:lang w:eastAsia="zh-CN"/>
        </w:rPr>
        <w:t>%。项目绩效目标完成情况：一是产出指标，设置了网络安全事件次数、系统维护工作完成率、系统故障率、网络故障次数、系统故障响应时间</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项指标，全部完成</w:t>
      </w:r>
      <w:r>
        <w:rPr>
          <w:rFonts w:hint="eastAsia" w:ascii="仿宋" w:hAnsi="仿宋" w:eastAsia="仿宋" w:cs="仿宋"/>
          <w:sz w:val="32"/>
          <w:szCs w:val="32"/>
        </w:rPr>
        <w:t>；</w:t>
      </w:r>
      <w:r>
        <w:rPr>
          <w:rFonts w:hint="eastAsia" w:ascii="仿宋" w:hAnsi="仿宋" w:eastAsia="仿宋" w:cs="仿宋"/>
          <w:color w:val="auto"/>
          <w:sz w:val="32"/>
          <w:szCs w:val="32"/>
          <w:lang w:eastAsia="zh-CN"/>
        </w:rPr>
        <w:t>二是效益指标，设置了保障设备可用率、系统可用率、系统正常运转天数3项指标，全部完成；三是满意度指标，设置了系统用户满意度</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项指标，全部完成；四是成本指标，设置了年度维护成本控制率、线路租用成本</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 xml:space="preserve">项指标，全部完成。发现的主要问题及原因：本项目涉及的采购内容较多，采购时间较长，影响项目资金支出进度。下一步改进措施：加强项目采购管理，加快项目支出进度。 </w:t>
      </w:r>
    </w:p>
    <w:p w14:paraId="188F50CE">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highlight w:val="none"/>
        </w:rPr>
        <w:t>（三）部门评价结果</w:t>
      </w:r>
    </w:p>
    <w:p w14:paraId="0A56AECA">
      <w:pPr>
        <w:spacing w:line="578"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此项为部门填写，我单位</w:t>
      </w:r>
      <w:r>
        <w:rPr>
          <w:rFonts w:hint="eastAsia" w:ascii="仿宋" w:hAnsi="仿宋" w:eastAsia="仿宋" w:cs="仿宋"/>
          <w:color w:val="auto"/>
          <w:sz w:val="32"/>
          <w:szCs w:val="32"/>
          <w:lang w:eastAsia="zh-CN"/>
        </w:rPr>
        <w:t>无此情况</w:t>
      </w:r>
      <w:r>
        <w:rPr>
          <w:rFonts w:hint="eastAsia" w:ascii="仿宋" w:hAnsi="仿宋" w:eastAsia="仿宋" w:cs="仿宋"/>
          <w:color w:val="auto"/>
          <w:sz w:val="32"/>
          <w:szCs w:val="32"/>
          <w:lang w:val="en-US" w:eastAsia="zh-CN"/>
        </w:rPr>
        <w:t>。</w:t>
      </w:r>
    </w:p>
    <w:p w14:paraId="57547AEF">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（四）财政评价结果</w:t>
      </w:r>
    </w:p>
    <w:p w14:paraId="70FF5BA4">
      <w:pPr>
        <w:spacing w:line="578"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我单位无此情况。</w:t>
      </w:r>
    </w:p>
    <w:p w14:paraId="6C6CDD78">
      <w:pPr>
        <w:widowControl w:val="0"/>
        <w:wordWrap/>
        <w:adjustRightInd/>
        <w:snapToGrid/>
        <w:spacing w:line="578" w:lineRule="exact"/>
        <w:ind w:firstLine="640" w:firstLineChars="200"/>
        <w:textAlignment w:val="auto"/>
        <w:rPr>
          <w:rFonts w:hint="eastAsia" w:ascii="黑体" w:hAnsi="黑体" w:eastAsia="黑体" w:cs="黑体"/>
          <w:bCs/>
          <w:color w:val="auto"/>
          <w:sz w:val="32"/>
          <w:szCs w:val="32"/>
          <w:lang w:val="zh-CN"/>
        </w:rPr>
      </w:pPr>
      <w:r>
        <w:rPr>
          <w:rFonts w:hint="eastAsia" w:ascii="黑体" w:hAnsi="黑体" w:eastAsia="黑体" w:cs="黑体"/>
          <w:bCs/>
          <w:color w:val="auto"/>
          <w:sz w:val="32"/>
          <w:szCs w:val="32"/>
          <w:lang w:val="zh-CN"/>
        </w:rPr>
        <w:t>十一、落实习惯过紧日子要求、保障重点支出情况说明</w:t>
      </w:r>
    </w:p>
    <w:p w14:paraId="47537C70">
      <w:pPr>
        <w:widowControl w:val="0"/>
        <w:wordWrap/>
        <w:adjustRightInd/>
        <w:snapToGrid/>
        <w:spacing w:line="578" w:lineRule="exact"/>
        <w:ind w:firstLine="640" w:firstLineChars="2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一是按照党中央、国务院关于党政机关习惯过紧日子的有关要求，厉行节约，严控一般性支出。同时坚持有保有压，优化支出结构，提高资金使用效率，合理保障</w:t>
      </w:r>
      <w:r>
        <w:rPr>
          <w:rFonts w:hint="eastAsia" w:ascii="仿宋" w:hAnsi="仿宋" w:eastAsia="仿宋" w:cs="仿宋"/>
          <w:color w:val="auto"/>
          <w:sz w:val="32"/>
          <w:szCs w:val="32"/>
        </w:rPr>
        <w:t>信息系统运行维护</w:t>
      </w:r>
      <w:r>
        <w:rPr>
          <w:rFonts w:hint="eastAsia" w:ascii="仿宋" w:hAnsi="仿宋" w:eastAsia="仿宋" w:cs="仿宋"/>
          <w:color w:val="auto"/>
          <w:sz w:val="32"/>
          <w:szCs w:val="32"/>
          <w:lang w:val="zh-CN"/>
        </w:rPr>
        <w:t>、</w:t>
      </w:r>
      <w:r>
        <w:rPr>
          <w:rFonts w:hint="eastAsia" w:ascii="仿宋" w:hAnsi="仿宋" w:eastAsia="仿宋" w:cs="仿宋"/>
          <w:color w:val="auto"/>
          <w:sz w:val="32"/>
          <w:szCs w:val="32"/>
        </w:rPr>
        <w:t>海南省财政预算管理一体化系统（2022）</w:t>
      </w:r>
      <w:r>
        <w:rPr>
          <w:rFonts w:hint="eastAsia" w:ascii="仿宋" w:hAnsi="仿宋" w:eastAsia="仿宋" w:cs="仿宋"/>
          <w:color w:val="auto"/>
          <w:sz w:val="32"/>
          <w:szCs w:val="32"/>
          <w:lang w:eastAsia="zh-CN"/>
        </w:rPr>
        <w:t>、省预算管理一体化系统升级改造（2024年）、财政综合管理信息平台、省电子凭证会计数据标准化平台建设项目</w:t>
      </w:r>
      <w:r>
        <w:rPr>
          <w:rFonts w:hint="eastAsia" w:ascii="仿宋" w:hAnsi="仿宋" w:eastAsia="仿宋" w:cs="仿宋"/>
          <w:color w:val="auto"/>
          <w:sz w:val="32"/>
          <w:szCs w:val="32"/>
          <w:lang w:val="zh-CN"/>
        </w:rPr>
        <w:t>等重点支出。二是按照支出功能分类，财政事务信息化建设方面的支出占财政拨款支出总额的比重较高，主要是：财政事务信息化建设，2025年度决算数为</w:t>
      </w:r>
      <w:r>
        <w:rPr>
          <w:rFonts w:hint="eastAsia" w:ascii="仿宋" w:hAnsi="仿宋" w:eastAsia="仿宋" w:cs="仿宋"/>
          <w:color w:val="auto"/>
          <w:sz w:val="32"/>
          <w:szCs w:val="32"/>
          <w:lang w:val="en-US" w:eastAsia="zh-CN"/>
        </w:rPr>
        <w:t>1,578.19</w:t>
      </w:r>
      <w:r>
        <w:rPr>
          <w:rFonts w:hint="eastAsia" w:ascii="仿宋" w:hAnsi="仿宋" w:eastAsia="仿宋" w:cs="仿宋"/>
          <w:color w:val="auto"/>
          <w:sz w:val="32"/>
          <w:szCs w:val="32"/>
          <w:lang w:val="zh-CN"/>
        </w:rPr>
        <w:t>万元，占财政拨款支出总额的</w:t>
      </w:r>
      <w:r>
        <w:rPr>
          <w:rFonts w:hint="eastAsia" w:ascii="仿宋" w:hAnsi="仿宋" w:eastAsia="仿宋" w:cs="仿宋"/>
          <w:color w:val="auto"/>
          <w:sz w:val="32"/>
          <w:szCs w:val="32"/>
          <w:lang w:val="en-US" w:eastAsia="zh-CN"/>
        </w:rPr>
        <w:t>86.7</w:t>
      </w:r>
      <w:r>
        <w:rPr>
          <w:rFonts w:hint="eastAsia" w:ascii="仿宋" w:hAnsi="仿宋" w:eastAsia="仿宋" w:cs="仿宋"/>
          <w:color w:val="auto"/>
          <w:sz w:val="32"/>
          <w:szCs w:val="32"/>
          <w:lang w:val="zh-CN"/>
        </w:rPr>
        <w:t>%，主要用于财政信息化项目建设和</w:t>
      </w:r>
      <w:r>
        <w:rPr>
          <w:rFonts w:hint="eastAsia" w:ascii="仿宋" w:hAnsi="仿宋" w:eastAsia="仿宋" w:cs="仿宋"/>
          <w:color w:val="auto"/>
          <w:sz w:val="32"/>
          <w:szCs w:val="32"/>
        </w:rPr>
        <w:t>信息系统运行维护</w:t>
      </w:r>
      <w:r>
        <w:rPr>
          <w:rFonts w:hint="eastAsia" w:ascii="仿宋" w:hAnsi="仿宋" w:eastAsia="仿宋" w:cs="仿宋"/>
          <w:color w:val="auto"/>
          <w:sz w:val="32"/>
          <w:szCs w:val="32"/>
          <w:lang w:val="zh-CN"/>
        </w:rPr>
        <w:t>方面。</w:t>
      </w:r>
    </w:p>
    <w:p w14:paraId="2617C825">
      <w:pPr>
        <w:widowControl w:val="0"/>
        <w:wordWrap/>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p>
    <w:p w14:paraId="4AF39F00">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bookmarkStart w:id="95" w:name="_Toc15262_WPSOffice_Level2"/>
      <w:bookmarkStart w:id="96" w:name="_Toc18325_WPSOffice_Level2"/>
      <w:bookmarkStart w:id="97" w:name="_Toc32639_WPSOffice_Level2"/>
      <w:bookmarkStart w:id="98" w:name="_Toc5978_WPSOffice_Level2"/>
      <w:bookmarkStart w:id="99" w:name="_Toc23598_WPSOffice_Level2"/>
      <w:bookmarkStart w:id="100" w:name="_Toc15565_WPSOffice_Level2"/>
      <w:r>
        <w:rPr>
          <w:rFonts w:hint="eastAsia" w:ascii="楷体" w:hAnsi="楷体" w:eastAsia="楷体" w:cs="楷体"/>
          <w:bCs/>
          <w:color w:val="auto"/>
          <w:sz w:val="32"/>
          <w:szCs w:val="32"/>
        </w:rPr>
        <w:t>（一）机关运行经费支出情况</w:t>
      </w:r>
      <w:bookmarkEnd w:id="95"/>
      <w:bookmarkEnd w:id="96"/>
      <w:bookmarkEnd w:id="97"/>
      <w:bookmarkEnd w:id="98"/>
      <w:bookmarkEnd w:id="99"/>
      <w:bookmarkEnd w:id="100"/>
    </w:p>
    <w:p w14:paraId="3C8B33DA">
      <w:pPr>
        <w:spacing w:line="578" w:lineRule="exact"/>
        <w:ind w:firstLine="640" w:firstLineChars="200"/>
        <w:jc w:val="left"/>
        <w:rPr>
          <w:rFonts w:hint="eastAsia" w:ascii="仿宋" w:hAnsi="仿宋" w:eastAsia="仿宋" w:cs="仿宋"/>
          <w:color w:val="auto"/>
          <w:sz w:val="32"/>
          <w:szCs w:val="32"/>
          <w:highlight w:val="none"/>
        </w:rPr>
      </w:pPr>
      <w:bookmarkStart w:id="101" w:name="_Toc25333_WPSOffice_Level2"/>
      <w:bookmarkStart w:id="102" w:name="_Toc30383_WPSOffice_Level2"/>
      <w:bookmarkStart w:id="103" w:name="_Toc3131_WPSOffice_Level2"/>
      <w:bookmarkStart w:id="104" w:name="_Toc23966_WPSOffice_Level2"/>
      <w:bookmarkStart w:id="105" w:name="_Toc13084_WPSOffice_Level2"/>
      <w:bookmarkStart w:id="106" w:name="_Toc32689_WPSOffice_Level2"/>
      <w:r>
        <w:rPr>
          <w:rFonts w:hint="eastAsia" w:ascii="仿宋" w:hAnsi="仿宋" w:eastAsia="仿宋" w:cs="仿宋"/>
          <w:color w:val="auto"/>
          <w:sz w:val="32"/>
          <w:szCs w:val="32"/>
          <w:lang w:val="en-US" w:eastAsia="zh-CN"/>
        </w:rPr>
        <w:t>我单位为事业单位，不涉及机关运行经费支出。</w:t>
      </w:r>
    </w:p>
    <w:p w14:paraId="33E38AD9">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（二）政府采购支出情况</w:t>
      </w:r>
      <w:bookmarkEnd w:id="101"/>
      <w:bookmarkEnd w:id="102"/>
      <w:bookmarkEnd w:id="103"/>
      <w:bookmarkEnd w:id="104"/>
      <w:bookmarkEnd w:id="105"/>
      <w:bookmarkEnd w:id="106"/>
    </w:p>
    <w:p w14:paraId="4E4CE50C">
      <w:pPr>
        <w:widowControl w:val="0"/>
        <w:wordWrap/>
        <w:adjustRightInd/>
        <w:snapToGrid/>
        <w:spacing w:line="578"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w:t>
      </w:r>
      <w:r>
        <w:rPr>
          <w:rFonts w:hint="eastAsia" w:ascii="仿宋" w:hAnsi="仿宋" w:eastAsia="仿宋" w:cs="仿宋"/>
          <w:color w:val="auto"/>
          <w:sz w:val="32"/>
          <w:szCs w:val="32"/>
          <w:lang w:val="en-US" w:eastAsia="zh-CN"/>
        </w:rPr>
        <w:t>我</w:t>
      </w:r>
      <w:r>
        <w:rPr>
          <w:rFonts w:hint="eastAsia" w:ascii="仿宋" w:hAnsi="仿宋" w:eastAsia="仿宋" w:cs="仿宋"/>
          <w:color w:val="auto"/>
          <w:sz w:val="32"/>
          <w:szCs w:val="32"/>
        </w:rPr>
        <w:t>单位政府采购支出总额</w:t>
      </w:r>
      <w:r>
        <w:rPr>
          <w:rFonts w:hint="eastAsia" w:ascii="仿宋" w:hAnsi="仿宋" w:eastAsia="仿宋" w:cs="仿宋"/>
          <w:color w:val="auto"/>
          <w:sz w:val="32"/>
          <w:szCs w:val="32"/>
          <w:lang w:val="en-US" w:eastAsia="zh-CN"/>
        </w:rPr>
        <w:t>2,452.19</w:t>
      </w:r>
      <w:r>
        <w:rPr>
          <w:rFonts w:hint="eastAsia" w:ascii="仿宋" w:hAnsi="仿宋" w:eastAsia="仿宋" w:cs="仿宋"/>
          <w:color w:val="auto"/>
          <w:sz w:val="32"/>
          <w:szCs w:val="32"/>
        </w:rPr>
        <w:t>万元，其中：政府采购服务支出</w:t>
      </w:r>
      <w:r>
        <w:rPr>
          <w:rFonts w:hint="eastAsia" w:ascii="仿宋" w:hAnsi="仿宋" w:eastAsia="仿宋" w:cs="仿宋"/>
          <w:color w:val="auto"/>
          <w:sz w:val="32"/>
          <w:szCs w:val="32"/>
          <w:lang w:val="en-US" w:eastAsia="zh-CN"/>
        </w:rPr>
        <w:t>2,452.19</w:t>
      </w:r>
      <w:r>
        <w:rPr>
          <w:rFonts w:hint="eastAsia" w:ascii="仿宋" w:hAnsi="仿宋" w:eastAsia="仿宋" w:cs="仿宋"/>
          <w:color w:val="auto"/>
          <w:sz w:val="32"/>
          <w:szCs w:val="32"/>
        </w:rPr>
        <w:t>万元。授予中小企业合同金额</w:t>
      </w:r>
      <w:r>
        <w:rPr>
          <w:rFonts w:hint="eastAsia" w:ascii="仿宋" w:hAnsi="仿宋" w:eastAsia="仿宋" w:cs="仿宋"/>
          <w:color w:val="auto"/>
          <w:sz w:val="32"/>
          <w:szCs w:val="32"/>
          <w:lang w:val="en-US" w:eastAsia="zh-CN"/>
        </w:rPr>
        <w:t>1,602.89</w:t>
      </w:r>
      <w:r>
        <w:rPr>
          <w:rFonts w:hint="eastAsia" w:ascii="仿宋" w:hAnsi="仿宋" w:eastAsia="仿宋" w:cs="仿宋"/>
          <w:color w:val="auto"/>
          <w:sz w:val="32"/>
          <w:szCs w:val="32"/>
        </w:rPr>
        <w:t>万元，占政府采购支出总额的</w:t>
      </w:r>
      <w:r>
        <w:rPr>
          <w:rFonts w:hint="eastAsia" w:ascii="仿宋" w:hAnsi="仿宋" w:eastAsia="仿宋" w:cs="仿宋"/>
          <w:color w:val="auto"/>
          <w:sz w:val="32"/>
          <w:szCs w:val="32"/>
          <w:lang w:val="en-US" w:eastAsia="zh-CN"/>
        </w:rPr>
        <w:t>65.4</w:t>
      </w:r>
      <w:r>
        <w:rPr>
          <w:rFonts w:hint="eastAsia" w:ascii="仿宋" w:hAnsi="仿宋" w:eastAsia="仿宋" w:cs="仿宋"/>
          <w:color w:val="auto"/>
          <w:sz w:val="32"/>
          <w:szCs w:val="32"/>
        </w:rPr>
        <w:t>%，其中：授予小微企业合同金额</w:t>
      </w:r>
      <w:r>
        <w:rPr>
          <w:rFonts w:hint="eastAsia" w:ascii="仿宋" w:hAnsi="仿宋" w:eastAsia="仿宋" w:cs="仿宋"/>
          <w:color w:val="auto"/>
          <w:sz w:val="32"/>
          <w:szCs w:val="32"/>
          <w:lang w:val="en-US" w:eastAsia="zh-CN"/>
        </w:rPr>
        <w:t>128.93</w:t>
      </w:r>
      <w:r>
        <w:rPr>
          <w:rFonts w:hint="eastAsia" w:ascii="仿宋" w:hAnsi="仿宋" w:eastAsia="仿宋" w:cs="仿宋"/>
          <w:color w:val="auto"/>
          <w:sz w:val="32"/>
          <w:szCs w:val="32"/>
        </w:rPr>
        <w:t>万元，占</w:t>
      </w:r>
      <w:r>
        <w:rPr>
          <w:rFonts w:hint="eastAsia" w:ascii="仿宋" w:hAnsi="仿宋" w:eastAsia="仿宋" w:cs="仿宋"/>
          <w:color w:val="auto"/>
          <w:kern w:val="0"/>
          <w:sz w:val="32"/>
          <w:szCs w:val="32"/>
        </w:rPr>
        <w:t>授予中小企业合同金额</w:t>
      </w:r>
      <w:r>
        <w:rPr>
          <w:rFonts w:hint="eastAsia" w:ascii="仿宋" w:hAnsi="仿宋" w:eastAsia="仿宋" w:cs="仿宋"/>
          <w:color w:val="auto"/>
          <w:sz w:val="32"/>
          <w:szCs w:val="32"/>
        </w:rPr>
        <w:t>的</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w:t>
      </w:r>
    </w:p>
    <w:p w14:paraId="0D73F246">
      <w:pPr>
        <w:widowControl w:val="0"/>
        <w:wordWrap/>
        <w:adjustRightInd/>
        <w:snapToGrid/>
        <w:spacing w:line="578" w:lineRule="exact"/>
        <w:ind w:firstLine="640" w:firstLineChars="200"/>
        <w:textAlignment w:val="auto"/>
        <w:rPr>
          <w:rFonts w:hint="eastAsia" w:ascii="楷体" w:hAnsi="楷体" w:eastAsia="楷体" w:cs="楷体"/>
          <w:bCs/>
          <w:color w:val="auto"/>
          <w:sz w:val="32"/>
          <w:szCs w:val="32"/>
        </w:rPr>
      </w:pPr>
      <w:bookmarkStart w:id="107" w:name="_Toc19989_WPSOffice_Level2"/>
      <w:bookmarkStart w:id="108" w:name="_Toc29584_WPSOffice_Level2"/>
      <w:bookmarkStart w:id="109" w:name="_Toc10902_WPSOffice_Level2"/>
      <w:bookmarkStart w:id="110" w:name="_Toc15129_WPSOffice_Level2"/>
      <w:bookmarkStart w:id="111" w:name="_Toc527_WPSOffice_Level2"/>
      <w:bookmarkStart w:id="112" w:name="_Toc6016_WPSOffice_Level2"/>
      <w:r>
        <w:rPr>
          <w:rFonts w:hint="eastAsia" w:ascii="楷体" w:hAnsi="楷体" w:eastAsia="楷体" w:cs="楷体"/>
          <w:bCs/>
          <w:color w:val="auto"/>
          <w:sz w:val="32"/>
          <w:szCs w:val="32"/>
        </w:rPr>
        <w:t>（三）国有资产占用情况</w:t>
      </w:r>
      <w:bookmarkEnd w:id="107"/>
      <w:bookmarkEnd w:id="108"/>
      <w:bookmarkEnd w:id="109"/>
      <w:bookmarkEnd w:id="110"/>
      <w:bookmarkEnd w:id="111"/>
      <w:bookmarkEnd w:id="112"/>
    </w:p>
    <w:p w14:paraId="65B1928B">
      <w:pPr>
        <w:spacing w:line="578"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bCs/>
          <w:color w:val="auto"/>
          <w:sz w:val="32"/>
          <w:szCs w:val="32"/>
        </w:rPr>
        <w:t>截至</w:t>
      </w:r>
      <w:r>
        <w:rPr>
          <w:rFonts w:hint="eastAsia" w:ascii="仿宋" w:hAnsi="仿宋" w:eastAsia="仿宋" w:cs="仿宋"/>
          <w:bCs/>
          <w:color w:val="auto"/>
          <w:sz w:val="32"/>
          <w:szCs w:val="32"/>
          <w:lang w:val="en-US"/>
        </w:rPr>
        <w:t>2025</w:t>
      </w:r>
      <w:r>
        <w:rPr>
          <w:rFonts w:hint="eastAsia" w:ascii="仿宋" w:hAnsi="仿宋" w:eastAsia="仿宋" w:cs="仿宋"/>
          <w:bCs/>
          <w:color w:val="auto"/>
          <w:sz w:val="32"/>
          <w:szCs w:val="32"/>
        </w:rPr>
        <w:t>年12月31日，</w:t>
      </w:r>
      <w:r>
        <w:rPr>
          <w:rFonts w:hint="eastAsia" w:ascii="仿宋" w:hAnsi="仿宋" w:eastAsia="仿宋" w:cs="仿宋"/>
          <w:bCs/>
          <w:color w:val="auto"/>
          <w:sz w:val="32"/>
          <w:szCs w:val="32"/>
          <w:highlight w:val="none"/>
        </w:rPr>
        <w:t>本</w:t>
      </w:r>
      <w:r>
        <w:rPr>
          <w:rFonts w:hint="eastAsia" w:ascii="仿宋" w:hAnsi="仿宋" w:eastAsia="仿宋" w:cs="仿宋"/>
          <w:bCs/>
          <w:color w:val="auto"/>
          <w:sz w:val="32"/>
          <w:szCs w:val="32"/>
          <w:highlight w:val="none"/>
          <w:lang w:eastAsia="zh-CN"/>
        </w:rPr>
        <w:t>单位</w:t>
      </w:r>
      <w:r>
        <w:rPr>
          <w:rFonts w:hint="eastAsia" w:ascii="仿宋" w:hAnsi="仿宋" w:eastAsia="仿宋" w:cs="仿宋"/>
          <w:bCs/>
          <w:color w:val="auto"/>
          <w:sz w:val="32"/>
          <w:szCs w:val="32"/>
          <w:highlight w:val="none"/>
        </w:rPr>
        <w:t>拥有</w:t>
      </w:r>
      <w:r>
        <w:rPr>
          <w:rFonts w:hint="eastAsia" w:ascii="仿宋" w:hAnsi="仿宋" w:eastAsia="仿宋" w:cs="仿宋"/>
          <w:color w:val="auto"/>
          <w:sz w:val="32"/>
          <w:szCs w:val="32"/>
          <w:highlight w:val="none"/>
        </w:rPr>
        <w:t>单价100万元（含）以上设备（不含车辆）</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14:paraId="4B07EE55">
      <w:pPr>
        <w:widowControl w:val="0"/>
        <w:wordWrap/>
        <w:adjustRightInd/>
        <w:snapToGrid/>
        <w:spacing w:line="578" w:lineRule="exact"/>
        <w:ind w:firstLine="640" w:firstLineChars="200"/>
        <w:jc w:val="center"/>
        <w:textAlignment w:val="auto"/>
        <w:rPr>
          <w:rFonts w:hint="eastAsia" w:ascii="黑体" w:hAnsi="ˎ̥" w:eastAsia="黑体"/>
          <w:color w:val="auto"/>
          <w:sz w:val="32"/>
          <w:szCs w:val="32"/>
        </w:rPr>
      </w:pPr>
      <w:bookmarkStart w:id="113" w:name="_Toc17580_WPSOffice_Level1"/>
      <w:bookmarkStart w:id="114" w:name="_Toc8874_WPSOffice_Level1"/>
      <w:bookmarkStart w:id="115" w:name="_Toc4398_WPSOffice_Level1"/>
      <w:bookmarkStart w:id="116" w:name="_Toc8808_WPSOffice_Level1"/>
      <w:bookmarkStart w:id="117" w:name="_Toc11039_WPSOffice_Level1"/>
      <w:bookmarkStart w:id="118" w:name="_Toc15425_WPSOffice_Level1"/>
    </w:p>
    <w:p w14:paraId="651026AF">
      <w:pPr>
        <w:widowControl w:val="0"/>
        <w:wordWrap/>
        <w:adjustRightInd/>
        <w:snapToGrid/>
        <w:spacing w:line="578" w:lineRule="exact"/>
        <w:jc w:val="center"/>
        <w:textAlignment w:val="auto"/>
        <w:rPr>
          <w:rFonts w:hint="eastAsia" w:ascii="黑体" w:hAnsi="ˎ̥" w:eastAsia="黑体"/>
          <w:color w:val="auto"/>
          <w:sz w:val="32"/>
          <w:szCs w:val="32"/>
        </w:rPr>
      </w:pPr>
      <w:r>
        <w:rPr>
          <w:rFonts w:hint="eastAsia" w:ascii="黑体" w:hAnsi="ˎ̥" w:eastAsia="黑体"/>
          <w:color w:val="auto"/>
          <w:sz w:val="32"/>
          <w:szCs w:val="32"/>
        </w:rPr>
        <w:t>第四部分  名词解释</w:t>
      </w:r>
      <w:bookmarkEnd w:id="113"/>
      <w:bookmarkEnd w:id="114"/>
      <w:bookmarkEnd w:id="115"/>
      <w:bookmarkEnd w:id="116"/>
      <w:bookmarkEnd w:id="117"/>
      <w:bookmarkEnd w:id="118"/>
    </w:p>
    <w:p w14:paraId="2E60DFF4">
      <w:pPr>
        <w:widowControl w:val="0"/>
        <w:wordWrap/>
        <w:adjustRightInd/>
        <w:snapToGrid/>
        <w:spacing w:line="578" w:lineRule="exact"/>
        <w:jc w:val="center"/>
        <w:textAlignment w:val="auto"/>
        <w:rPr>
          <w:rFonts w:hint="eastAsia" w:ascii="黑体" w:hAnsi="ˎ̥" w:eastAsia="黑体"/>
          <w:color w:val="auto"/>
          <w:sz w:val="32"/>
          <w:szCs w:val="32"/>
        </w:rPr>
      </w:pPr>
    </w:p>
    <w:p w14:paraId="40CC1CCC">
      <w:pPr>
        <w:widowControl w:val="0"/>
        <w:numPr>
          <w:ilvl w:val="0"/>
          <w:numId w:val="1"/>
        </w:numPr>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财政拨款收入：指同级政府财政部门当年拨付的各类财政拨款。</w:t>
      </w:r>
    </w:p>
    <w:p w14:paraId="2E1286F6">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二、上级补助收入：指事业单位从主管部门和上级单位取得的非财政补助收入。</w:t>
      </w:r>
    </w:p>
    <w:p w14:paraId="4665AF3A">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三、事业收入：指事业单位开展专业业务活动及辅助活动取得的收入。</w:t>
      </w:r>
    </w:p>
    <w:p w14:paraId="6EA76166">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四、经营收入：指事业单位在专业业务活动及其辅助活动之外开展非独立核算经营活动取得的收入。</w:t>
      </w:r>
    </w:p>
    <w:p w14:paraId="542B9DB7">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五、附属单位上缴收入：指事业单位取得附属独立核算单位根据有关规定上缴的收入。</w:t>
      </w:r>
    </w:p>
    <w:p w14:paraId="7D0D0017">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六、其他收入：指除上述“财政拨款收入”“事业收入”“上级补助收入”“经营收入”“附属单位上缴收入”等以外的收入。</w:t>
      </w:r>
    </w:p>
    <w:p w14:paraId="3D4BF6A9">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14:paraId="69806F22">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八、年初结转和结余：指以前年度尚未完成、结转到本年按有关规定继续使用的资金，或项目已完成等产生的结余资金。</w:t>
      </w:r>
    </w:p>
    <w:p w14:paraId="5420E31D">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九、结余分配：指事业单位缴纳企业所得税以及从非财政拨款结余或经营结余中提取各类结余的情况。</w:t>
      </w:r>
    </w:p>
    <w:p w14:paraId="6C4C9C06">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14:paraId="73057F3E">
      <w:pPr>
        <w:widowControl w:val="0"/>
        <w:wordWrap/>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十一、基本支出：指为保障机构正常运转、完成日常工作任务而发生的人员支出和公用支出。</w:t>
      </w:r>
    </w:p>
    <w:p w14:paraId="5DC32E7F">
      <w:pPr>
        <w:widowControl w:val="0"/>
        <w:wordWrap/>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十二、项目支出：指在基本支出之外为完成特定行政任务和事业发展目标所发生的支出。</w:t>
      </w:r>
    </w:p>
    <w:p w14:paraId="2AA0A912">
      <w:pPr>
        <w:widowControl w:val="0"/>
        <w:wordWrap/>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十三、经营支出：指事业单位在专业业务活动及其辅助活动之外开展非独立核算经营活动发生的支出。</w:t>
      </w:r>
    </w:p>
    <w:p w14:paraId="682999FD">
      <w:pPr>
        <w:widowControl w:val="0"/>
        <w:wordWrap/>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、公务用车购置及运行维护费和公务接待费。其中，因公出国（境）费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04C1A632">
      <w:pPr>
        <w:widowControl w:val="0"/>
        <w:wordWrap/>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7B26597D">
      <w:pPr>
        <w:widowControl w:val="0"/>
        <w:wordWrap/>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十六、支出功能分类：</w:t>
      </w:r>
    </w:p>
    <w:p w14:paraId="526755FB">
      <w:pPr>
        <w:widowControl w:val="0"/>
        <w:wordWrap/>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val="0"/>
          <w:color w:val="auto"/>
          <w:sz w:val="32"/>
          <w:szCs w:val="32"/>
          <w:highlight w:val="none"/>
        </w:rPr>
        <w:t>一般公共服务</w:t>
      </w:r>
      <w:r>
        <w:rPr>
          <w:rFonts w:hint="eastAsia" w:ascii="仿宋" w:hAnsi="仿宋" w:eastAsia="仿宋" w:cs="仿宋"/>
          <w:b w:val="0"/>
          <w:color w:val="auto"/>
          <w:sz w:val="32"/>
          <w:szCs w:val="32"/>
          <w:highlight w:val="none"/>
          <w:lang w:eastAsia="zh-CN"/>
        </w:rPr>
        <w:t>支出</w:t>
      </w:r>
      <w:r>
        <w:rPr>
          <w:rFonts w:hint="eastAsia" w:ascii="仿宋" w:hAnsi="仿宋" w:eastAsia="仿宋" w:cs="仿宋"/>
          <w:b w:val="0"/>
          <w:color w:val="auto"/>
          <w:sz w:val="32"/>
          <w:szCs w:val="32"/>
          <w:highlight w:val="none"/>
        </w:rPr>
        <w:t>（类）</w:t>
      </w:r>
      <w:r>
        <w:rPr>
          <w:rFonts w:hint="eastAsia" w:ascii="仿宋" w:hAnsi="仿宋" w:eastAsia="仿宋" w:cs="仿宋"/>
          <w:b w:val="0"/>
          <w:color w:val="auto"/>
          <w:sz w:val="32"/>
          <w:szCs w:val="32"/>
          <w:highlight w:val="none"/>
          <w:lang w:eastAsia="zh-CN"/>
        </w:rPr>
        <w:t>财政</w:t>
      </w:r>
      <w:r>
        <w:rPr>
          <w:rFonts w:hint="eastAsia" w:ascii="仿宋" w:hAnsi="仿宋" w:eastAsia="仿宋" w:cs="仿宋"/>
          <w:b w:val="0"/>
          <w:color w:val="auto"/>
          <w:sz w:val="32"/>
          <w:szCs w:val="32"/>
          <w:highlight w:val="none"/>
        </w:rPr>
        <w:t>事务（款）</w:t>
      </w:r>
      <w:r>
        <w:rPr>
          <w:rFonts w:hint="eastAsia" w:ascii="仿宋" w:hAnsi="仿宋" w:eastAsia="仿宋" w:cs="仿宋"/>
          <w:b w:val="0"/>
          <w:color w:val="auto"/>
          <w:sz w:val="32"/>
          <w:szCs w:val="32"/>
          <w:highlight w:val="none"/>
          <w:lang w:eastAsia="zh-CN"/>
        </w:rPr>
        <w:t>信息化建设（项），反映财政部门用于信息化建设方面的支出</w:t>
      </w:r>
      <w:r>
        <w:rPr>
          <w:rFonts w:hint="eastAsia" w:ascii="仿宋" w:hAnsi="仿宋" w:eastAsia="仿宋" w:cs="仿宋"/>
          <w:sz w:val="32"/>
          <w:szCs w:val="32"/>
          <w:highlight w:val="none"/>
        </w:rPr>
        <w:t>；</w:t>
      </w:r>
    </w:p>
    <w:p w14:paraId="02EA7696">
      <w:pPr>
        <w:widowControl w:val="0"/>
        <w:wordWrap/>
        <w:adjustRightInd/>
        <w:snapToGrid/>
        <w:spacing w:line="578" w:lineRule="exact"/>
        <w:ind w:firstLine="640" w:firstLineChars="200"/>
        <w:textAlignment w:val="auto"/>
        <w:rPr>
          <w:rFonts w:hint="eastAsia" w:ascii="仿宋" w:hAnsi="仿宋" w:eastAsia="仿宋" w:cs="仿宋"/>
          <w:b w:val="0"/>
          <w:color w:val="auto"/>
          <w:sz w:val="32"/>
          <w:szCs w:val="32"/>
          <w:lang w:eastAsia="zh-CN"/>
        </w:rPr>
      </w:pPr>
      <w:r>
        <w:rPr>
          <w:rFonts w:hint="eastAsia" w:ascii="仿宋" w:hAnsi="仿宋" w:eastAsia="仿宋" w:cs="仿宋"/>
          <w:b w:val="0"/>
          <w:color w:val="auto"/>
          <w:sz w:val="32"/>
          <w:szCs w:val="32"/>
        </w:rPr>
        <w:t>一般公共服务</w:t>
      </w:r>
      <w:r>
        <w:rPr>
          <w:rFonts w:hint="eastAsia" w:ascii="仿宋" w:hAnsi="仿宋" w:eastAsia="仿宋" w:cs="仿宋"/>
          <w:b w:val="0"/>
          <w:color w:val="auto"/>
          <w:sz w:val="32"/>
          <w:szCs w:val="32"/>
          <w:lang w:eastAsia="zh-CN"/>
        </w:rPr>
        <w:t>支出</w:t>
      </w:r>
      <w:r>
        <w:rPr>
          <w:rFonts w:hint="eastAsia" w:ascii="仿宋" w:hAnsi="仿宋" w:eastAsia="仿宋" w:cs="仿宋"/>
          <w:b w:val="0"/>
          <w:color w:val="auto"/>
          <w:sz w:val="32"/>
          <w:szCs w:val="32"/>
        </w:rPr>
        <w:t>（类）</w:t>
      </w:r>
      <w:r>
        <w:rPr>
          <w:rFonts w:hint="eastAsia" w:ascii="仿宋" w:hAnsi="仿宋" w:eastAsia="仿宋" w:cs="仿宋"/>
          <w:b w:val="0"/>
          <w:color w:val="auto"/>
          <w:sz w:val="32"/>
          <w:szCs w:val="32"/>
          <w:lang w:eastAsia="zh-CN"/>
        </w:rPr>
        <w:t>财政</w:t>
      </w:r>
      <w:r>
        <w:rPr>
          <w:rFonts w:hint="eastAsia" w:ascii="仿宋" w:hAnsi="仿宋" w:eastAsia="仿宋" w:cs="仿宋"/>
          <w:b w:val="0"/>
          <w:color w:val="auto"/>
          <w:sz w:val="32"/>
          <w:szCs w:val="32"/>
        </w:rPr>
        <w:t>事务（款）</w:t>
      </w:r>
      <w:r>
        <w:rPr>
          <w:rFonts w:hint="eastAsia" w:ascii="仿宋" w:hAnsi="仿宋" w:eastAsia="仿宋" w:cs="仿宋"/>
          <w:b w:val="0"/>
          <w:color w:val="auto"/>
          <w:sz w:val="32"/>
          <w:szCs w:val="32"/>
          <w:lang w:eastAsia="zh-CN"/>
        </w:rPr>
        <w:t>事业运行（项），</w:t>
      </w:r>
      <w:r>
        <w:rPr>
          <w:rFonts w:hint="eastAsia" w:ascii="仿宋" w:hAnsi="仿宋" w:eastAsia="仿宋" w:cs="仿宋"/>
          <w:sz w:val="32"/>
          <w:szCs w:val="32"/>
          <w:highlight w:val="none"/>
          <w:lang w:eastAsia="zh-CN"/>
        </w:rPr>
        <w:t>反映事业单位的基本支出</w:t>
      </w:r>
      <w:r>
        <w:rPr>
          <w:rFonts w:hint="eastAsia" w:ascii="仿宋" w:hAnsi="仿宋" w:eastAsia="仿宋" w:cs="仿宋"/>
          <w:sz w:val="32"/>
          <w:szCs w:val="32"/>
          <w:highlight w:val="none"/>
        </w:rPr>
        <w:t>；</w:t>
      </w:r>
    </w:p>
    <w:p w14:paraId="501D030D">
      <w:pPr>
        <w:widowControl w:val="0"/>
        <w:wordWrap/>
        <w:adjustRightInd/>
        <w:snapToGrid/>
        <w:spacing w:line="578" w:lineRule="exact"/>
        <w:ind w:firstLine="640" w:firstLineChars="200"/>
        <w:textAlignment w:val="auto"/>
        <w:rPr>
          <w:rFonts w:hint="eastAsia" w:ascii="仿宋" w:hAnsi="仿宋" w:eastAsia="仿宋" w:cs="仿宋"/>
          <w:b w:val="0"/>
          <w:color w:val="auto"/>
          <w:sz w:val="32"/>
          <w:szCs w:val="32"/>
          <w:lang w:eastAsia="zh-CN"/>
        </w:rPr>
      </w:pPr>
      <w:r>
        <w:rPr>
          <w:rFonts w:hint="eastAsia" w:ascii="仿宋" w:hAnsi="仿宋" w:eastAsia="仿宋" w:cs="仿宋"/>
          <w:b w:val="0"/>
          <w:color w:val="auto"/>
          <w:sz w:val="32"/>
          <w:szCs w:val="32"/>
        </w:rPr>
        <w:t>一般公共服务</w:t>
      </w:r>
      <w:r>
        <w:rPr>
          <w:rFonts w:hint="eastAsia" w:ascii="仿宋" w:hAnsi="仿宋" w:eastAsia="仿宋" w:cs="仿宋"/>
          <w:b w:val="0"/>
          <w:color w:val="auto"/>
          <w:sz w:val="32"/>
          <w:szCs w:val="32"/>
          <w:lang w:eastAsia="zh-CN"/>
        </w:rPr>
        <w:t>支出</w:t>
      </w:r>
      <w:r>
        <w:rPr>
          <w:rFonts w:hint="eastAsia" w:ascii="仿宋" w:hAnsi="仿宋" w:eastAsia="仿宋" w:cs="仿宋"/>
          <w:b w:val="0"/>
          <w:color w:val="auto"/>
          <w:sz w:val="32"/>
          <w:szCs w:val="32"/>
        </w:rPr>
        <w:t>（类）</w:t>
      </w:r>
      <w:r>
        <w:rPr>
          <w:rFonts w:hint="eastAsia" w:ascii="仿宋" w:hAnsi="仿宋" w:eastAsia="仿宋" w:cs="仿宋"/>
          <w:b w:val="0"/>
          <w:color w:val="auto"/>
          <w:sz w:val="32"/>
          <w:szCs w:val="32"/>
          <w:lang w:eastAsia="zh-CN"/>
        </w:rPr>
        <w:t>财政</w:t>
      </w:r>
      <w:r>
        <w:rPr>
          <w:rFonts w:hint="eastAsia" w:ascii="仿宋" w:hAnsi="仿宋" w:eastAsia="仿宋" w:cs="仿宋"/>
          <w:b w:val="0"/>
          <w:color w:val="auto"/>
          <w:sz w:val="32"/>
          <w:szCs w:val="32"/>
        </w:rPr>
        <w:t>事务（款）其他财政事务支出</w:t>
      </w:r>
      <w:r>
        <w:rPr>
          <w:rFonts w:hint="eastAsia" w:ascii="仿宋" w:hAnsi="仿宋" w:eastAsia="仿宋" w:cs="仿宋"/>
          <w:b w:val="0"/>
          <w:color w:val="auto"/>
          <w:sz w:val="32"/>
          <w:szCs w:val="32"/>
          <w:lang w:eastAsia="zh-CN"/>
        </w:rPr>
        <w:t>（项），</w:t>
      </w:r>
      <w:r>
        <w:rPr>
          <w:rFonts w:hint="eastAsia" w:ascii="仿宋" w:hAnsi="仿宋" w:eastAsia="仿宋" w:cs="仿宋"/>
          <w:sz w:val="32"/>
          <w:szCs w:val="32"/>
          <w:highlight w:val="none"/>
          <w:lang w:eastAsia="zh-CN"/>
        </w:rPr>
        <w:t>反映除上述项目以外其他财政事务方面的支出</w:t>
      </w:r>
      <w:r>
        <w:rPr>
          <w:rFonts w:hint="eastAsia" w:ascii="仿宋" w:hAnsi="仿宋" w:eastAsia="仿宋" w:cs="仿宋"/>
          <w:sz w:val="32"/>
          <w:szCs w:val="32"/>
          <w:highlight w:val="none"/>
        </w:rPr>
        <w:t>；</w:t>
      </w:r>
    </w:p>
    <w:p w14:paraId="49A7193E">
      <w:pPr>
        <w:widowControl w:val="0"/>
        <w:wordWrap/>
        <w:adjustRightInd/>
        <w:snapToGrid/>
        <w:spacing w:line="578" w:lineRule="exact"/>
        <w:ind w:firstLine="640" w:firstLineChars="200"/>
        <w:textAlignment w:val="auto"/>
        <w:rPr>
          <w:rFonts w:hint="eastAsia" w:ascii="仿宋" w:hAnsi="仿宋" w:eastAsia="仿宋" w:cs="仿宋"/>
          <w:b w:val="0"/>
          <w:color w:val="auto"/>
          <w:sz w:val="32"/>
          <w:szCs w:val="32"/>
          <w:lang w:eastAsia="zh-CN"/>
        </w:rPr>
      </w:pPr>
      <w:r>
        <w:rPr>
          <w:rFonts w:hint="eastAsia" w:ascii="仿宋" w:hAnsi="仿宋" w:eastAsia="仿宋" w:cs="仿宋"/>
          <w:b w:val="0"/>
          <w:color w:val="auto"/>
          <w:sz w:val="32"/>
          <w:szCs w:val="32"/>
        </w:rPr>
        <w:t>社会保障和就业支出（类）行政事业单位养老支出（款）机关事业单位基本养老保险</w:t>
      </w:r>
      <w:r>
        <w:rPr>
          <w:rFonts w:hint="eastAsia" w:ascii="仿宋" w:hAnsi="仿宋" w:eastAsia="仿宋" w:cs="仿宋"/>
          <w:b w:val="0"/>
          <w:color w:val="auto"/>
          <w:sz w:val="32"/>
          <w:szCs w:val="32"/>
          <w:lang w:eastAsia="zh-CN"/>
        </w:rPr>
        <w:t>缴费支出（项），</w:t>
      </w:r>
      <w:r>
        <w:rPr>
          <w:rFonts w:hint="eastAsia" w:ascii="仿宋" w:hAnsi="仿宋" w:eastAsia="仿宋" w:cs="仿宋"/>
          <w:sz w:val="32"/>
          <w:szCs w:val="32"/>
          <w:highlight w:val="none"/>
          <w:lang w:eastAsia="zh-CN"/>
        </w:rPr>
        <w:t>反映机关事业单位实施养老保险制度由单位缴纳的基本养老保险费支出</w:t>
      </w:r>
      <w:r>
        <w:rPr>
          <w:rFonts w:hint="eastAsia" w:ascii="仿宋" w:hAnsi="仿宋" w:eastAsia="仿宋" w:cs="仿宋"/>
          <w:sz w:val="32"/>
          <w:szCs w:val="32"/>
          <w:highlight w:val="none"/>
        </w:rPr>
        <w:t>；</w:t>
      </w:r>
    </w:p>
    <w:p w14:paraId="67E614FE">
      <w:pPr>
        <w:widowControl w:val="0"/>
        <w:wordWrap/>
        <w:adjustRightInd/>
        <w:snapToGrid/>
        <w:spacing w:line="578" w:lineRule="exact"/>
        <w:ind w:firstLine="640" w:firstLineChars="200"/>
        <w:textAlignment w:val="auto"/>
        <w:rPr>
          <w:rFonts w:hint="eastAsia" w:ascii="仿宋" w:hAnsi="仿宋" w:eastAsia="仿宋" w:cs="仿宋"/>
          <w:b w:val="0"/>
          <w:color w:val="auto"/>
          <w:sz w:val="32"/>
          <w:szCs w:val="32"/>
          <w:lang w:eastAsia="zh-CN"/>
        </w:rPr>
      </w:pPr>
      <w:r>
        <w:rPr>
          <w:rFonts w:hint="eastAsia" w:ascii="仿宋" w:hAnsi="仿宋" w:eastAsia="仿宋" w:cs="仿宋"/>
          <w:b w:val="0"/>
          <w:color w:val="auto"/>
          <w:sz w:val="32"/>
          <w:szCs w:val="32"/>
        </w:rPr>
        <w:t>社会保障和就业支出（类）行政事业单位养老支出（款）机关事业单位</w:t>
      </w:r>
      <w:r>
        <w:rPr>
          <w:rFonts w:hint="eastAsia" w:ascii="仿宋" w:hAnsi="仿宋" w:eastAsia="仿宋" w:cs="仿宋"/>
          <w:b w:val="0"/>
          <w:color w:val="auto"/>
          <w:sz w:val="32"/>
          <w:szCs w:val="32"/>
          <w:lang w:eastAsia="zh-CN"/>
        </w:rPr>
        <w:t>职业年金</w:t>
      </w:r>
      <w:r>
        <w:rPr>
          <w:rFonts w:hint="eastAsia" w:ascii="仿宋" w:hAnsi="仿宋" w:eastAsia="仿宋" w:cs="仿宋"/>
          <w:b w:val="0"/>
          <w:color w:val="auto"/>
          <w:sz w:val="32"/>
          <w:szCs w:val="32"/>
        </w:rPr>
        <w:t>缴费支出</w:t>
      </w:r>
      <w:r>
        <w:rPr>
          <w:rFonts w:hint="eastAsia" w:ascii="仿宋" w:hAnsi="仿宋" w:eastAsia="仿宋" w:cs="仿宋"/>
          <w:b w:val="0"/>
          <w:color w:val="auto"/>
          <w:sz w:val="32"/>
          <w:szCs w:val="32"/>
          <w:lang w:eastAsia="zh-CN"/>
        </w:rPr>
        <w:t>（项），</w:t>
      </w:r>
      <w:r>
        <w:rPr>
          <w:rFonts w:hint="eastAsia" w:ascii="仿宋" w:hAnsi="仿宋" w:eastAsia="仿宋" w:cs="仿宋"/>
          <w:sz w:val="32"/>
          <w:szCs w:val="32"/>
          <w:highlight w:val="none"/>
          <w:lang w:eastAsia="zh-CN"/>
        </w:rPr>
        <w:t>反映机关事业单位实施养老保险制度由单位实际缴纳的职业年金支出（含职业年金补记支出）</w:t>
      </w:r>
      <w:r>
        <w:rPr>
          <w:rFonts w:hint="eastAsia" w:ascii="仿宋" w:hAnsi="仿宋" w:eastAsia="仿宋" w:cs="仿宋"/>
          <w:sz w:val="32"/>
          <w:szCs w:val="32"/>
          <w:highlight w:val="none"/>
        </w:rPr>
        <w:t>；</w:t>
      </w:r>
    </w:p>
    <w:p w14:paraId="0DC531B9">
      <w:pPr>
        <w:widowControl w:val="0"/>
        <w:wordWrap/>
        <w:adjustRightInd/>
        <w:snapToGrid/>
        <w:spacing w:line="578" w:lineRule="exact"/>
        <w:ind w:firstLine="640" w:firstLineChars="200"/>
        <w:textAlignment w:val="auto"/>
        <w:rPr>
          <w:rFonts w:hint="eastAsia" w:ascii="仿宋" w:hAnsi="仿宋" w:eastAsia="仿宋" w:cs="仿宋"/>
          <w:b w:val="0"/>
          <w:color w:val="auto"/>
          <w:sz w:val="32"/>
          <w:szCs w:val="32"/>
          <w:lang w:eastAsia="zh-CN"/>
        </w:rPr>
      </w:pPr>
      <w:r>
        <w:rPr>
          <w:rFonts w:hint="eastAsia" w:ascii="仿宋" w:hAnsi="仿宋" w:eastAsia="仿宋" w:cs="仿宋"/>
          <w:b w:val="0"/>
          <w:color w:val="auto"/>
          <w:sz w:val="32"/>
          <w:szCs w:val="32"/>
        </w:rPr>
        <w:t>卫生健康支出（类）行政事业单位医疗（款）事业单位医疗</w:t>
      </w:r>
      <w:r>
        <w:rPr>
          <w:rFonts w:hint="eastAsia" w:ascii="仿宋" w:hAnsi="仿宋" w:eastAsia="仿宋" w:cs="仿宋"/>
          <w:b w:val="0"/>
          <w:color w:val="auto"/>
          <w:sz w:val="32"/>
          <w:szCs w:val="32"/>
          <w:lang w:eastAsia="zh-CN"/>
        </w:rPr>
        <w:t>（项），反映财政部门安排的事业单位基本医疗保险缴费经费</w:t>
      </w:r>
      <w:r>
        <w:rPr>
          <w:rFonts w:hint="eastAsia" w:ascii="仿宋" w:hAnsi="仿宋" w:eastAsia="仿宋" w:cs="仿宋"/>
          <w:sz w:val="32"/>
          <w:szCs w:val="32"/>
          <w:highlight w:val="none"/>
        </w:rPr>
        <w:t>；</w:t>
      </w:r>
    </w:p>
    <w:p w14:paraId="1ECFC7E1">
      <w:pPr>
        <w:widowControl w:val="0"/>
        <w:wordWrap/>
        <w:adjustRightInd/>
        <w:snapToGrid/>
        <w:spacing w:line="578" w:lineRule="exact"/>
        <w:ind w:firstLine="640" w:firstLineChars="200"/>
        <w:textAlignment w:val="auto"/>
        <w:rPr>
          <w:rFonts w:hint="eastAsia" w:ascii="仿宋" w:hAnsi="仿宋" w:eastAsia="仿宋" w:cs="仿宋"/>
          <w:b w:val="0"/>
          <w:color w:val="auto"/>
          <w:sz w:val="32"/>
          <w:szCs w:val="32"/>
          <w:lang w:eastAsia="zh-CN"/>
        </w:rPr>
      </w:pPr>
      <w:r>
        <w:rPr>
          <w:rFonts w:hint="eastAsia" w:ascii="仿宋" w:hAnsi="仿宋" w:eastAsia="仿宋" w:cs="仿宋"/>
          <w:b w:val="0"/>
          <w:color w:val="auto"/>
          <w:sz w:val="32"/>
          <w:szCs w:val="32"/>
        </w:rPr>
        <w:t>住房保障支出（类）住房改革支出（款）住房公积金</w:t>
      </w:r>
      <w:r>
        <w:rPr>
          <w:rFonts w:hint="eastAsia" w:ascii="仿宋" w:hAnsi="仿宋" w:eastAsia="仿宋" w:cs="仿宋"/>
          <w:b w:val="0"/>
          <w:color w:val="auto"/>
          <w:sz w:val="32"/>
          <w:szCs w:val="32"/>
          <w:lang w:eastAsia="zh-CN"/>
        </w:rPr>
        <w:t>（项），</w:t>
      </w:r>
      <w:r>
        <w:rPr>
          <w:rFonts w:hint="eastAsia" w:ascii="仿宋" w:hAnsi="仿宋" w:eastAsia="仿宋" w:cs="仿宋"/>
          <w:sz w:val="32"/>
          <w:szCs w:val="32"/>
          <w:highlight w:val="none"/>
          <w:lang w:eastAsia="zh-CN"/>
        </w:rPr>
        <w:t>反映行政事业单位按人力资源和社会保障部、财政部规定的基本工资和津补贴以及规定比例为职工缴纳的住房公积金。</w:t>
      </w:r>
    </w:p>
    <w:p w14:paraId="1B5F91E9">
      <w:pPr>
        <w:widowControl w:val="0"/>
        <w:wordWrap/>
        <w:adjustRightInd/>
        <w:snapToGrid/>
        <w:spacing w:line="578" w:lineRule="exact"/>
        <w:ind w:firstLine="420" w:firstLineChars="200"/>
        <w:textAlignment w:val="auto"/>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73DDB">
    <w:pPr>
      <w:pStyle w:val="5"/>
      <w:framePr w:wrap="around" w:vAnchor="text" w:hAnchor="margin" w:xAlign="center" w:y="1"/>
      <w:rPr>
        <w:rStyle w:val="10"/>
        <w:rFonts w:hint="eastAsia" w:ascii="宋体" w:hAnsi="宋体" w:eastAsia="宋体" w:cs="宋体"/>
        <w:sz w:val="28"/>
        <w:szCs w:val="28"/>
      </w:rPr>
    </w:pPr>
    <w:r>
      <w:rPr>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0"/>
        <w:rFonts w:hint="eastAsia" w:ascii="宋体" w:hAnsi="宋体" w:eastAsia="宋体" w:cs="宋体"/>
        <w:sz w:val="28"/>
        <w:szCs w:val="28"/>
      </w:rPr>
      <w:t>1</w:t>
    </w:r>
    <w:r>
      <w:rPr>
        <w:rFonts w:hint="eastAsia" w:ascii="宋体" w:hAnsi="宋体" w:eastAsia="宋体" w:cs="宋体"/>
        <w:sz w:val="28"/>
        <w:szCs w:val="28"/>
      </w:rPr>
      <w:fldChar w:fldCharType="end"/>
    </w:r>
  </w:p>
  <w:p w14:paraId="73FC80F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6070F">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14:paraId="762379AA">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00000000"/>
    <w:rsid w:val="07B60C5C"/>
    <w:rsid w:val="258F1BD9"/>
    <w:rsid w:val="37BF8414"/>
    <w:rsid w:val="5ADD2262"/>
    <w:rsid w:val="5EB57588"/>
    <w:rsid w:val="75EE5EF0"/>
    <w:rsid w:val="77858F93"/>
    <w:rsid w:val="7B2F7488"/>
    <w:rsid w:val="7EFFEB56"/>
    <w:rsid w:val="8EFF1B00"/>
    <w:rsid w:val="AF7142EF"/>
    <w:rsid w:val="F3EFCE84"/>
    <w:rsid w:val="F7F7B2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link w:val="17"/>
    <w:qFormat/>
    <w:uiPriority w:val="0"/>
    <w:pPr>
      <w:jc w:val="left"/>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qFormat/>
    <w:uiPriority w:val="0"/>
    <w:rPr>
      <w:b/>
      <w:bCs/>
    </w:rPr>
  </w:style>
  <w:style w:type="character" w:styleId="10">
    <w:name w:val="page number"/>
    <w:qFormat/>
    <w:uiPriority w:val="0"/>
  </w:style>
  <w:style w:type="character" w:styleId="11">
    <w:name w:val="annotation reference"/>
    <w:qFormat/>
    <w:uiPriority w:val="0"/>
    <w:rPr>
      <w:sz w:val="21"/>
      <w:szCs w:val="21"/>
    </w:rPr>
  </w:style>
  <w:style w:type="paragraph" w:customStyle="1" w:styleId="12">
    <w:name w:val="WPSOffice手动目录 1"/>
    <w:qFormat/>
    <w:uiPriority w:val="0"/>
    <w:rPr>
      <w:rFonts w:ascii="Times New Roman" w:hAnsi="Times New Roman" w:eastAsia="宋体" w:cs="Times New Roman"/>
      <w:lang w:val="en-US" w:eastAsia="zh-CN" w:bidi="ar-SA"/>
    </w:rPr>
  </w:style>
  <w:style w:type="paragraph" w:customStyle="1" w:styleId="13">
    <w:name w:val="WPSOffice手动目录 2"/>
    <w:qFormat/>
    <w:uiPriority w:val="0"/>
    <w:pPr>
      <w:ind w:leftChars="200"/>
    </w:pPr>
    <w:rPr>
      <w:rFonts w:ascii="Times New Roman" w:hAnsi="Times New Roman" w:eastAsia="宋体" w:cs="Times New Roman"/>
      <w:lang w:val="en-US" w:eastAsia="zh-CN" w:bidi="ar-SA"/>
    </w:rPr>
  </w:style>
  <w:style w:type="paragraph" w:customStyle="1" w:styleId="14">
    <w:name w:val="正文1 Char Char Char"/>
    <w:basedOn w:val="1"/>
    <w:qFormat/>
    <w:uiPriority w:val="0"/>
    <w:pPr>
      <w:spacing w:line="360" w:lineRule="auto"/>
      <w:ind w:firstLine="200" w:firstLineChars="200"/>
    </w:pPr>
  </w:style>
  <w:style w:type="character" w:customStyle="1" w:styleId="15">
    <w:name w:val="批注框文本 Char"/>
    <w:link w:val="4"/>
    <w:qFormat/>
    <w:uiPriority w:val="0"/>
    <w:rPr>
      <w:kern w:val="2"/>
      <w:sz w:val="18"/>
      <w:szCs w:val="18"/>
    </w:rPr>
  </w:style>
  <w:style w:type="character" w:customStyle="1" w:styleId="16">
    <w:name w:val="批注主题 Char"/>
    <w:link w:val="7"/>
    <w:qFormat/>
    <w:uiPriority w:val="0"/>
    <w:rPr>
      <w:b/>
      <w:bCs/>
      <w:kern w:val="2"/>
      <w:sz w:val="21"/>
      <w:szCs w:val="24"/>
    </w:rPr>
  </w:style>
  <w:style w:type="character" w:customStyle="1" w:styleId="17">
    <w:name w:val="批注文字 Char"/>
    <w:link w:val="3"/>
    <w:qFormat/>
    <w:uiPriority w:val="0"/>
    <w:rPr>
      <w:kern w:val="2"/>
      <w:sz w:val="21"/>
      <w:szCs w:val="24"/>
    </w:rPr>
  </w:style>
  <w:style w:type="character" w:customStyle="1" w:styleId="18">
    <w:name w:val="页眉 Char"/>
    <w:link w:val="6"/>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5643</Words>
  <Characters>6122</Characters>
  <Lines>67</Lines>
  <Paragraphs>18</Paragraphs>
  <TotalTime>21</TotalTime>
  <ScaleCrop>false</ScaleCrop>
  <LinksUpToDate>false</LinksUpToDate>
  <CharactersWithSpaces>6166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2024-07-25T11:26:00Z</dcterms:created>
  <dc:creator>uos</dc:creator>
  <cp:lastModifiedBy>咖啡</cp:lastModifiedBy>
  <cp:lastPrinted>2026-08-20T08:39:00Z</cp:lastPrinted>
  <dcterms:modified xsi:type="dcterms:W3CDTF">2026-08-24T06:23:14Z</dcterms:modified>
  <dc:title>海南省财政科技服务中心2025年度部门决算公开报告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956E8BD85ED64B839ED88701333EA692_13</vt:lpwstr>
  </property>
  <property fmtid="{D5CDD505-2E9C-101B-9397-08002B2CF9AE}" pid="4" name="KSOTemplateDocerSaveRecord">
    <vt:lpwstr>eyJoZGlkIjoiYTFlYWRlOTVjNjNmMzAzYmQzODhiMDc0NDUxMmZjYzAiLCJ1c2VySWQiOiIzMTcyODE1MTUifQ==</vt:lpwstr>
  </property>
</Properties>
</file>