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left"/>
        <w:rPr>
          <w:rFonts w:hint="eastAsia" w:ascii="黑体" w:hAnsi="黑体" w:eastAsia="黑体" w:cs="黑体"/>
          <w:b w:val="0"/>
          <w:bCs/>
          <w:color w:val="000000"/>
          <w:sz w:val="32"/>
          <w:szCs w:val="32"/>
          <w:highlight w:val="none"/>
          <w:lang w:val="en-US" w:eastAsia="zh-CN"/>
        </w:rPr>
      </w:pPr>
      <w:r>
        <w:rPr>
          <w:rFonts w:hint="eastAsia" w:ascii="黑体" w:hAnsi="黑体" w:eastAsia="黑体" w:cs="黑体"/>
          <w:b w:val="0"/>
          <w:bCs/>
          <w:color w:val="000000"/>
          <w:sz w:val="32"/>
          <w:szCs w:val="32"/>
          <w:highlight w:val="none"/>
          <w:lang w:eastAsia="zh-CN"/>
        </w:rPr>
        <w:t>附件</w:t>
      </w:r>
      <w:r>
        <w:rPr>
          <w:rFonts w:hint="eastAsia" w:ascii="黑体" w:hAnsi="黑体" w:eastAsia="黑体" w:cs="黑体"/>
          <w:b w:val="0"/>
          <w:bCs/>
          <w:color w:val="000000"/>
          <w:sz w:val="32"/>
          <w:szCs w:val="32"/>
          <w:highlight w:val="none"/>
          <w:lang w:val="en-US" w:eastAsia="zh-CN"/>
        </w:rPr>
        <w:t>1</w:t>
      </w:r>
      <w:bookmarkStart w:id="0" w:name="_GoBack"/>
      <w:bookmarkEnd w:id="0"/>
    </w:p>
    <w:p>
      <w:pPr>
        <w:spacing w:line="578" w:lineRule="exact"/>
        <w:jc w:val="center"/>
        <w:rPr>
          <w:rFonts w:hint="eastAsia" w:ascii="宋体" w:hAnsi="宋体" w:cs="宋体"/>
          <w:b/>
          <w:color w:val="000000"/>
          <w:sz w:val="44"/>
          <w:szCs w:val="44"/>
          <w:highlight w:val="none"/>
          <w:lang w:eastAsia="zh-CN"/>
        </w:rPr>
      </w:pPr>
    </w:p>
    <w:p>
      <w:pPr>
        <w:spacing w:line="578" w:lineRule="exact"/>
        <w:jc w:val="center"/>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lang w:eastAsia="zh-CN"/>
        </w:rPr>
        <w:t>海南省</w:t>
      </w:r>
      <w:r>
        <w:rPr>
          <w:rFonts w:hint="eastAsia" w:ascii="方正小标宋简体" w:hAnsi="方正小标宋简体" w:eastAsia="方正小标宋简体" w:cs="方正小标宋简体"/>
          <w:b w:val="0"/>
          <w:bCs/>
          <w:color w:val="000000"/>
          <w:sz w:val="44"/>
          <w:szCs w:val="44"/>
          <w:highlight w:val="none"/>
        </w:rPr>
        <w:t>城乡义务教育补助经费管理</w:t>
      </w:r>
      <w:r>
        <w:rPr>
          <w:rFonts w:hint="eastAsia" w:ascii="方正小标宋简体" w:hAnsi="方正小标宋简体" w:eastAsia="方正小标宋简体" w:cs="方正小标宋简体"/>
          <w:b w:val="0"/>
          <w:bCs/>
          <w:color w:val="000000"/>
          <w:sz w:val="44"/>
          <w:szCs w:val="44"/>
          <w:highlight w:val="none"/>
          <w:lang w:eastAsia="zh-CN"/>
        </w:rPr>
        <w:t>办法</w:t>
      </w:r>
    </w:p>
    <w:p>
      <w:pPr>
        <w:adjustRightInd w:val="0"/>
        <w:snapToGrid w:val="0"/>
        <w:spacing w:line="578" w:lineRule="exact"/>
        <w:rPr>
          <w:rFonts w:ascii="仿宋" w:hAnsi="仿宋" w:eastAsia="仿宋" w:cs="华文仿宋"/>
          <w:bCs/>
          <w:color w:val="000000"/>
          <w:sz w:val="32"/>
          <w:szCs w:val="32"/>
          <w:highlight w:val="none"/>
        </w:rPr>
      </w:pPr>
    </w:p>
    <w:p>
      <w:pPr>
        <w:adjustRightInd w:val="0"/>
        <w:snapToGrid w:val="0"/>
        <w:spacing w:line="578" w:lineRule="exact"/>
        <w:ind w:firstLine="640" w:firstLineChars="200"/>
        <w:rPr>
          <w:rFonts w:ascii="仿宋_GB2312" w:hAnsi="仿宋" w:eastAsia="仿宋_GB2312" w:cs="Arial"/>
          <w:color w:val="000000"/>
          <w:sz w:val="32"/>
          <w:szCs w:val="32"/>
          <w:highlight w:val="none"/>
        </w:rPr>
      </w:pPr>
      <w:r>
        <w:rPr>
          <w:rFonts w:hint="eastAsia" w:ascii="黑体" w:hAnsi="黑体" w:eastAsia="黑体" w:cs="华文仿宋"/>
          <w:bCs/>
          <w:color w:val="000000"/>
          <w:sz w:val="32"/>
          <w:szCs w:val="32"/>
          <w:highlight w:val="none"/>
        </w:rPr>
        <w:t xml:space="preserve">第一条 </w:t>
      </w:r>
      <w:r>
        <w:rPr>
          <w:rFonts w:hint="eastAsia" w:ascii="黑体" w:hAnsi="黑体" w:eastAsia="黑体" w:cs="华文仿宋"/>
          <w:bCs/>
          <w:color w:val="000000"/>
          <w:sz w:val="32"/>
          <w:szCs w:val="32"/>
          <w:highlight w:val="none"/>
          <w:lang w:val="en-US" w:eastAsia="zh-CN"/>
        </w:rPr>
        <w:t xml:space="preserve"> </w:t>
      </w:r>
      <w:r>
        <w:rPr>
          <w:rFonts w:hint="eastAsia" w:ascii="仿宋_GB2312" w:hAnsi="仿宋" w:eastAsia="仿宋_GB2312" w:cs="华文仿宋"/>
          <w:color w:val="000000"/>
          <w:sz w:val="32"/>
          <w:szCs w:val="32"/>
          <w:highlight w:val="none"/>
        </w:rPr>
        <w:t>为</w:t>
      </w:r>
      <w:r>
        <w:rPr>
          <w:rFonts w:hint="eastAsia" w:ascii="仿宋_GB2312" w:hAnsi="仿宋" w:eastAsia="仿宋_GB2312" w:cs="华文仿宋"/>
          <w:color w:val="000000"/>
          <w:sz w:val="32"/>
          <w:szCs w:val="32"/>
          <w:highlight w:val="none"/>
          <w:lang w:eastAsia="zh-CN"/>
        </w:rPr>
        <w:t>加强</w:t>
      </w:r>
      <w:r>
        <w:rPr>
          <w:rFonts w:hint="eastAsia" w:ascii="仿宋_GB2312" w:hAnsi="仿宋" w:eastAsia="仿宋_GB2312" w:cs="华文仿宋"/>
          <w:color w:val="000000"/>
          <w:sz w:val="32"/>
          <w:szCs w:val="32"/>
          <w:highlight w:val="none"/>
        </w:rPr>
        <w:t>城乡义务教育补助经费管理，提高资金使用效益，推进义务教育</w:t>
      </w:r>
      <w:r>
        <w:rPr>
          <w:rFonts w:hint="eastAsia" w:ascii="仿宋_GB2312" w:hAnsi="仿宋" w:eastAsia="仿宋_GB2312" w:cs="华文仿宋"/>
          <w:color w:val="000000"/>
          <w:sz w:val="32"/>
          <w:szCs w:val="32"/>
          <w:highlight w:val="none"/>
          <w:lang w:eastAsia="zh-CN"/>
        </w:rPr>
        <w:t>优质</w:t>
      </w:r>
      <w:r>
        <w:rPr>
          <w:rFonts w:hint="eastAsia" w:ascii="仿宋_GB2312" w:hAnsi="仿宋" w:eastAsia="仿宋_GB2312" w:cs="华文仿宋"/>
          <w:color w:val="000000"/>
          <w:sz w:val="32"/>
          <w:szCs w:val="32"/>
          <w:highlight w:val="none"/>
        </w:rPr>
        <w:t>均衡发展，根据</w:t>
      </w:r>
      <w:r>
        <w:rPr>
          <w:rFonts w:ascii="仿宋" w:hAnsi="仿宋" w:eastAsia="仿宋" w:cs="仿宋"/>
          <w:snapToGrid w:val="0"/>
          <w:color w:val="000000"/>
          <w:spacing w:val="16"/>
          <w:kern w:val="0"/>
          <w:sz w:val="32"/>
          <w:szCs w:val="32"/>
          <w:lang w:val="en-US" w:eastAsia="en-US" w:bidi="ar-SA"/>
        </w:rPr>
        <w:t>《财政部</w:t>
      </w:r>
      <w:r>
        <w:rPr>
          <w:rFonts w:hint="eastAsia" w:ascii="仿宋" w:hAnsi="仿宋" w:eastAsia="仿宋" w:cs="仿宋"/>
          <w:snapToGrid w:val="0"/>
          <w:color w:val="000000"/>
          <w:spacing w:val="16"/>
          <w:kern w:val="0"/>
          <w:sz w:val="32"/>
          <w:szCs w:val="32"/>
          <w:lang w:val="en-US" w:eastAsia="zh-CN" w:bidi="ar-SA"/>
        </w:rPr>
        <w:t xml:space="preserve"> </w:t>
      </w:r>
      <w:r>
        <w:rPr>
          <w:rFonts w:ascii="仿宋" w:hAnsi="仿宋" w:eastAsia="仿宋" w:cs="仿宋"/>
          <w:snapToGrid w:val="0"/>
          <w:color w:val="000000"/>
          <w:spacing w:val="16"/>
          <w:kern w:val="0"/>
          <w:sz w:val="32"/>
          <w:szCs w:val="32"/>
          <w:lang w:val="en-US" w:eastAsia="en-US" w:bidi="ar-SA"/>
        </w:rPr>
        <w:t>教育部关于印发〈城乡义务教育补助经费管理办法〉的通知》（财教</w:t>
      </w:r>
      <w:r>
        <w:rPr>
          <w:rFonts w:hint="eastAsia" w:ascii="仿宋" w:hAnsi="仿宋" w:eastAsia="仿宋" w:cs="仿宋"/>
          <w:snapToGrid w:val="0"/>
          <w:color w:val="000000"/>
          <w:spacing w:val="16"/>
          <w:kern w:val="0"/>
          <w:sz w:val="32"/>
          <w:szCs w:val="32"/>
          <w:lang w:val="en-US" w:eastAsia="zh-CN" w:bidi="ar-SA"/>
        </w:rPr>
        <w:t>〔2025〕68号</w:t>
      </w:r>
      <w:r>
        <w:rPr>
          <w:rFonts w:ascii="仿宋" w:hAnsi="仿宋" w:eastAsia="仿宋" w:cs="仿宋"/>
          <w:snapToGrid w:val="0"/>
          <w:color w:val="000000"/>
          <w:spacing w:val="16"/>
          <w:kern w:val="0"/>
          <w:sz w:val="32"/>
          <w:szCs w:val="32"/>
          <w:lang w:val="en-US" w:eastAsia="en-US" w:bidi="ar-SA"/>
        </w:rPr>
        <w:t>）</w:t>
      </w:r>
      <w:r>
        <w:rPr>
          <w:rFonts w:hint="eastAsia" w:ascii="仿宋_GB2312" w:hAnsi="仿宋" w:eastAsia="仿宋_GB2312" w:cs="华文仿宋"/>
          <w:color w:val="000000"/>
          <w:sz w:val="32"/>
          <w:szCs w:val="32"/>
          <w:highlight w:val="none"/>
          <w:lang w:eastAsia="zh-CN"/>
        </w:rPr>
        <w:t>、《海南省人民政府办公厅关于印发海南省科技领域、教育领域、交通运输领域省与市县财政事权和支出责任划分改革实施方案的通知》（琼府办〔2020〕23号）</w:t>
      </w:r>
      <w:r>
        <w:rPr>
          <w:rFonts w:hint="eastAsia" w:ascii="仿宋_GB2312" w:hAnsi="仿宋" w:eastAsia="仿宋_GB2312" w:cs="华文仿宋"/>
          <w:color w:val="000000"/>
          <w:sz w:val="32"/>
          <w:szCs w:val="32"/>
          <w:highlight w:val="none"/>
        </w:rPr>
        <w:t>等有关规定，制定本办法。</w:t>
      </w:r>
    </w:p>
    <w:p>
      <w:pPr>
        <w:adjustRightInd w:val="0"/>
        <w:snapToGrid w:val="0"/>
        <w:spacing w:line="578" w:lineRule="exact"/>
        <w:ind w:firstLine="640" w:firstLineChars="200"/>
        <w:rPr>
          <w:rFonts w:hint="eastAsia" w:ascii="仿宋" w:hAnsi="仿宋" w:eastAsia="仿宋" w:cs="仿宋"/>
          <w:bCs/>
          <w:sz w:val="32"/>
          <w:szCs w:val="32"/>
          <w:highlight w:val="none"/>
        </w:rPr>
      </w:pPr>
      <w:r>
        <w:rPr>
          <w:rFonts w:hint="eastAsia" w:ascii="黑体" w:hAnsi="黑体" w:eastAsia="黑体"/>
          <w:color w:val="000000"/>
          <w:sz w:val="32"/>
          <w:szCs w:val="32"/>
          <w:highlight w:val="none"/>
        </w:rPr>
        <w:t xml:space="preserve">第二条 </w:t>
      </w:r>
      <w:r>
        <w:rPr>
          <w:rFonts w:hint="eastAsia" w:ascii="黑体" w:hAnsi="黑体" w:eastAsia="黑体"/>
          <w:color w:val="000000"/>
          <w:sz w:val="32"/>
          <w:szCs w:val="32"/>
          <w:highlight w:val="none"/>
          <w:lang w:val="en-US" w:eastAsia="zh-CN"/>
        </w:rPr>
        <w:t xml:space="preserve"> </w:t>
      </w:r>
      <w:r>
        <w:rPr>
          <w:rFonts w:hint="eastAsia" w:ascii="仿宋" w:hAnsi="仿宋" w:eastAsia="仿宋" w:cs="仿宋"/>
          <w:color w:val="000000"/>
          <w:sz w:val="32"/>
          <w:szCs w:val="32"/>
          <w:highlight w:val="none"/>
        </w:rPr>
        <w:t>本办法所称城乡义务教育补助经费（以下称补助经费），是指中央</w:t>
      </w:r>
      <w:r>
        <w:rPr>
          <w:rFonts w:hint="eastAsia" w:ascii="仿宋" w:hAnsi="仿宋" w:eastAsia="仿宋" w:cs="仿宋"/>
          <w:color w:val="000000"/>
          <w:sz w:val="32"/>
          <w:szCs w:val="32"/>
          <w:highlight w:val="none"/>
          <w:lang w:eastAsia="zh-CN"/>
        </w:rPr>
        <w:t>和省级</w:t>
      </w:r>
      <w:r>
        <w:rPr>
          <w:rFonts w:hint="eastAsia" w:ascii="仿宋" w:hAnsi="仿宋" w:eastAsia="仿宋" w:cs="仿宋"/>
          <w:color w:val="000000"/>
          <w:sz w:val="32"/>
          <w:szCs w:val="32"/>
          <w:highlight w:val="none"/>
        </w:rPr>
        <w:t>财政用于支持</w:t>
      </w:r>
      <w:r>
        <w:rPr>
          <w:rFonts w:hint="eastAsia" w:ascii="仿宋" w:hAnsi="仿宋" w:eastAsia="仿宋" w:cs="仿宋"/>
          <w:bCs/>
          <w:sz w:val="32"/>
          <w:szCs w:val="32"/>
          <w:highlight w:val="none"/>
        </w:rPr>
        <w:t>城乡义务教育发展的</w:t>
      </w:r>
      <w:r>
        <w:rPr>
          <w:rFonts w:hint="eastAsia" w:ascii="仿宋" w:hAnsi="仿宋" w:eastAsia="仿宋" w:cs="仿宋"/>
          <w:color w:val="000000"/>
          <w:sz w:val="32"/>
          <w:szCs w:val="32"/>
          <w:highlight w:val="none"/>
          <w:lang w:eastAsia="zh-CN"/>
        </w:rPr>
        <w:t>补助</w:t>
      </w:r>
      <w:r>
        <w:rPr>
          <w:rFonts w:hint="eastAsia" w:ascii="仿宋" w:hAnsi="仿宋" w:eastAsia="仿宋" w:cs="仿宋"/>
          <w:bCs/>
          <w:sz w:val="32"/>
          <w:szCs w:val="32"/>
          <w:highlight w:val="none"/>
        </w:rPr>
        <w:t>资金。本办法所称城市、农村地区划分标准：国家统计局最新版本的《统计用区划代码》中的第5-6位（区县代码）为01-20且《统计用城乡划分代码》中的第13-15位（城乡分类代码）为111的主城区为城市，其他地区为农村。</w:t>
      </w:r>
    </w:p>
    <w:p>
      <w:pPr>
        <w:adjustRightInd w:val="0"/>
        <w:snapToGrid w:val="0"/>
        <w:spacing w:line="578" w:lineRule="exact"/>
        <w:ind w:firstLine="640" w:firstLineChars="200"/>
        <w:rPr>
          <w:rFonts w:hint="eastAsia" w:ascii="仿宋" w:hAnsi="仿宋" w:eastAsia="仿宋" w:cs="仿宋"/>
          <w:color w:val="000000"/>
          <w:sz w:val="32"/>
          <w:szCs w:val="32"/>
          <w:highlight w:val="none"/>
          <w:shd w:val="clear" w:color="auto" w:fill="FFFFFF"/>
        </w:rPr>
      </w:pPr>
      <w:r>
        <w:rPr>
          <w:rFonts w:hint="eastAsia" w:ascii="黑体" w:hAnsi="黑体" w:eastAsia="黑体" w:cs="华文仿宋"/>
          <w:color w:val="000000"/>
          <w:sz w:val="32"/>
          <w:szCs w:val="32"/>
          <w:highlight w:val="none"/>
        </w:rPr>
        <w:t xml:space="preserve">第三条 </w:t>
      </w:r>
      <w:r>
        <w:rPr>
          <w:rFonts w:hint="eastAsia" w:ascii="黑体" w:hAnsi="黑体" w:eastAsia="黑体" w:cs="华文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补助经费管理遵循“城乡统一、重在农村，</w:t>
      </w:r>
      <w:r>
        <w:rPr>
          <w:rFonts w:hint="eastAsia" w:ascii="仿宋" w:hAnsi="仿宋" w:eastAsia="仿宋" w:cs="仿宋"/>
          <w:sz w:val="32"/>
          <w:szCs w:val="32"/>
          <w:highlight w:val="none"/>
        </w:rPr>
        <w:t>统筹安排、突出重点</w:t>
      </w:r>
      <w:r>
        <w:rPr>
          <w:rFonts w:hint="eastAsia" w:ascii="仿宋" w:hAnsi="仿宋" w:eastAsia="仿宋" w:cs="仿宋"/>
          <w:color w:val="000000"/>
          <w:sz w:val="32"/>
          <w:szCs w:val="32"/>
          <w:highlight w:val="none"/>
        </w:rPr>
        <w:t>，客观公正、规范透明，注重绩效、强化监督”的原则</w:t>
      </w:r>
      <w:r>
        <w:rPr>
          <w:rFonts w:hint="eastAsia" w:ascii="仿宋" w:hAnsi="仿宋" w:eastAsia="仿宋" w:cs="仿宋"/>
          <w:color w:val="000000"/>
          <w:sz w:val="32"/>
          <w:szCs w:val="32"/>
          <w:highlight w:val="none"/>
          <w:shd w:val="clear" w:color="auto" w:fill="FFFFFF"/>
        </w:rPr>
        <w:t>。</w:t>
      </w:r>
    </w:p>
    <w:p>
      <w:pPr>
        <w:adjustRightInd w:val="0"/>
        <w:snapToGrid w:val="0"/>
        <w:spacing w:line="578" w:lineRule="exact"/>
        <w:ind w:firstLine="630"/>
        <w:rPr>
          <w:rFonts w:hint="eastAsia" w:ascii="仿宋" w:hAnsi="仿宋" w:eastAsia="仿宋" w:cs="仿宋"/>
          <w:color w:val="000000"/>
          <w:sz w:val="32"/>
          <w:szCs w:val="32"/>
          <w:highlight w:val="none"/>
        </w:rPr>
      </w:pPr>
      <w:r>
        <w:rPr>
          <w:rFonts w:hint="eastAsia" w:ascii="黑体" w:hAnsi="黑体" w:eastAsia="黑体" w:cs="Arial"/>
          <w:color w:val="000000"/>
          <w:sz w:val="32"/>
          <w:szCs w:val="32"/>
          <w:highlight w:val="none"/>
        </w:rPr>
        <w:t xml:space="preserve">第四条 </w:t>
      </w:r>
      <w:r>
        <w:rPr>
          <w:rFonts w:hint="eastAsia" w:ascii="黑体" w:hAnsi="黑体" w:eastAsia="黑体" w:cs="Arial"/>
          <w:color w:val="000000"/>
          <w:sz w:val="32"/>
          <w:szCs w:val="32"/>
          <w:highlight w:val="none"/>
          <w:lang w:val="en-US" w:eastAsia="zh-CN"/>
        </w:rPr>
        <w:t xml:space="preserve"> </w:t>
      </w:r>
      <w:r>
        <w:rPr>
          <w:rFonts w:hint="eastAsia" w:ascii="仿宋" w:hAnsi="仿宋" w:eastAsia="仿宋" w:cs="仿宋"/>
          <w:color w:val="000000"/>
          <w:sz w:val="32"/>
          <w:szCs w:val="32"/>
          <w:highlight w:val="none"/>
        </w:rPr>
        <w:t>现阶段，补助经费支持方向包括：</w:t>
      </w:r>
    </w:p>
    <w:p>
      <w:pPr>
        <w:adjustRightInd w:val="0"/>
        <w:snapToGrid w:val="0"/>
        <w:spacing w:line="578" w:lineRule="exact"/>
        <w:ind w:firstLine="630"/>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（一）落实城乡义务教育经费保障机制。</w:t>
      </w:r>
    </w:p>
    <w:p>
      <w:pPr>
        <w:adjustRightInd w:val="0"/>
        <w:snapToGrid w:val="0"/>
        <w:spacing w:line="578" w:lineRule="exact"/>
        <w:ind w:firstLine="63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1.对城乡义务教育学生（含民办学校学生）免除学杂费、免费提供教科书</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对家庭经济困难学生补助生活费。</w:t>
      </w:r>
      <w:r>
        <w:rPr>
          <w:rFonts w:hint="eastAsia" w:ascii="仿宋" w:hAnsi="仿宋" w:eastAsia="仿宋" w:cs="仿宋"/>
          <w:color w:val="000000"/>
          <w:sz w:val="32"/>
          <w:szCs w:val="32"/>
        </w:rPr>
        <w:t>国家规定课程和免费为小学一年级新生提供正版学生字典</w:t>
      </w:r>
      <w:r>
        <w:rPr>
          <w:rFonts w:hint="eastAsia" w:ascii="仿宋" w:hAnsi="仿宋" w:eastAsia="仿宋" w:cs="仿宋"/>
          <w:color w:val="000000"/>
          <w:sz w:val="32"/>
          <w:szCs w:val="32"/>
          <w:lang w:eastAsia="zh-CN"/>
        </w:rPr>
        <w:t>资金</w:t>
      </w:r>
      <w:r>
        <w:rPr>
          <w:rFonts w:hint="eastAsia" w:ascii="仿宋" w:hAnsi="仿宋" w:eastAsia="仿宋" w:cs="仿宋"/>
          <w:color w:val="000000"/>
          <w:sz w:val="32"/>
          <w:szCs w:val="32"/>
        </w:rPr>
        <w:t>由中央承担，省规定的地方课程、练习册及英语音像视听资料资金由省级承担。免费提供作业本所需资金按照单位隶属关系由省和市县分别承担。</w:t>
      </w:r>
      <w:r>
        <w:rPr>
          <w:rFonts w:hint="eastAsia" w:ascii="仿宋" w:hAnsi="仿宋" w:eastAsia="仿宋" w:cs="仿宋"/>
          <w:color w:val="000000"/>
          <w:sz w:val="32"/>
          <w:szCs w:val="32"/>
          <w:lang w:eastAsia="zh-CN"/>
        </w:rPr>
        <w:t>民办学校要按照财政免费提供作业本补助标准相应减免有关收费。</w:t>
      </w:r>
      <w:r>
        <w:rPr>
          <w:rFonts w:hint="eastAsia" w:ascii="仿宋" w:hAnsi="仿宋" w:eastAsia="仿宋" w:cs="仿宋"/>
          <w:color w:val="000000"/>
          <w:sz w:val="32"/>
          <w:szCs w:val="32"/>
          <w:highlight w:val="none"/>
        </w:rPr>
        <w:t>家庭经济困难学生生活补助资金由中央与地方按规定比例分担，其中家庭经济困难寄宿生生活补助国家基础标准由国家统一制定，并按国家基础标准的一定比例核定家庭经济困难非寄宿生生活补助标准。</w:t>
      </w:r>
      <w:r>
        <w:rPr>
          <w:rFonts w:hint="eastAsia" w:ascii="仿宋" w:hAnsi="仿宋" w:eastAsia="仿宋" w:cs="仿宋"/>
          <w:color w:val="000000"/>
          <w:sz w:val="32"/>
          <w:szCs w:val="32"/>
          <w:highlight w:val="none"/>
          <w:lang w:eastAsia="zh-CN"/>
        </w:rPr>
        <w:t>已享受特殊教育学校寄宿生</w:t>
      </w:r>
      <w:r>
        <w:rPr>
          <w:rFonts w:hint="eastAsia" w:ascii="仿宋" w:hAnsi="仿宋" w:eastAsia="仿宋" w:cs="仿宋"/>
          <w:color w:val="000000"/>
          <w:sz w:val="32"/>
          <w:szCs w:val="32"/>
          <w:highlight w:val="none"/>
        </w:rPr>
        <w:t>生活费补助</w:t>
      </w:r>
      <w:r>
        <w:rPr>
          <w:rFonts w:hint="eastAsia" w:ascii="仿宋" w:hAnsi="仿宋" w:eastAsia="仿宋" w:cs="仿宋"/>
          <w:color w:val="000000"/>
          <w:sz w:val="32"/>
          <w:szCs w:val="32"/>
          <w:highlight w:val="none"/>
          <w:lang w:eastAsia="zh-CN"/>
        </w:rPr>
        <w:t>的学生不再享受</w:t>
      </w:r>
      <w:r>
        <w:rPr>
          <w:rFonts w:hint="eastAsia" w:ascii="仿宋" w:hAnsi="仿宋" w:eastAsia="仿宋" w:cs="仿宋"/>
          <w:color w:val="000000"/>
          <w:sz w:val="32"/>
          <w:szCs w:val="32"/>
        </w:rPr>
        <w:t>家庭经济困难寄宿生生活补助</w:t>
      </w:r>
      <w:r>
        <w:rPr>
          <w:rFonts w:hint="eastAsia" w:ascii="仿宋" w:hAnsi="仿宋" w:eastAsia="仿宋" w:cs="仿宋"/>
          <w:color w:val="000000"/>
          <w:sz w:val="32"/>
          <w:szCs w:val="32"/>
          <w:lang w:eastAsia="zh-CN"/>
        </w:rPr>
        <w:t>。</w:t>
      </w:r>
    </w:p>
    <w:p>
      <w:pPr>
        <w:adjustRightInd w:val="0"/>
        <w:snapToGrid w:val="0"/>
        <w:spacing w:line="578" w:lineRule="exact"/>
        <w:ind w:firstLine="63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.对城乡义务教育学校（含民办学校）按照不低于</w:t>
      </w:r>
      <w:r>
        <w:rPr>
          <w:rFonts w:hint="eastAsia" w:ascii="仿宋" w:hAnsi="仿宋" w:eastAsia="仿宋" w:cs="仿宋"/>
          <w:color w:val="000000"/>
          <w:sz w:val="32"/>
          <w:szCs w:val="32"/>
          <w:highlight w:val="none"/>
          <w:lang w:eastAsia="zh-CN"/>
        </w:rPr>
        <w:t>我省制定</w:t>
      </w:r>
      <w:r>
        <w:rPr>
          <w:rFonts w:hint="eastAsia" w:ascii="仿宋" w:hAnsi="仿宋" w:eastAsia="仿宋" w:cs="仿宋"/>
          <w:color w:val="000000"/>
          <w:sz w:val="32"/>
          <w:szCs w:val="32"/>
          <w:highlight w:val="none"/>
        </w:rPr>
        <w:t>的</w:t>
      </w:r>
      <w:r>
        <w:rPr>
          <w:rFonts w:hint="eastAsia" w:ascii="仿宋" w:hAnsi="仿宋" w:eastAsia="仿宋" w:cs="仿宋"/>
          <w:color w:val="000000"/>
          <w:sz w:val="32"/>
          <w:szCs w:val="32"/>
          <w:highlight w:val="none"/>
          <w:lang w:eastAsia="zh-CN"/>
        </w:rPr>
        <w:t>基础标准</w:t>
      </w:r>
      <w:r>
        <w:rPr>
          <w:rFonts w:hint="eastAsia" w:ascii="仿宋" w:hAnsi="仿宋" w:eastAsia="仿宋" w:cs="仿宋"/>
          <w:color w:val="000000"/>
          <w:sz w:val="32"/>
          <w:szCs w:val="32"/>
          <w:highlight w:val="none"/>
        </w:rPr>
        <w:t>补助公用经费，并适当提高寄宿制学校、规模较小学校、三沙市所辖地区学校</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特殊教育学校和随班就读残疾学生的公用经费补助水平。</w:t>
      </w:r>
    </w:p>
    <w:p>
      <w:pPr>
        <w:adjustRightInd w:val="0"/>
        <w:snapToGrid w:val="0"/>
        <w:spacing w:line="578" w:lineRule="exact"/>
        <w:ind w:firstLine="63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民办学校</w:t>
      </w:r>
      <w:r>
        <w:rPr>
          <w:rFonts w:hint="eastAsia" w:ascii="仿宋" w:hAnsi="仿宋" w:eastAsia="仿宋" w:cs="仿宋"/>
          <w:color w:val="000000"/>
          <w:sz w:val="32"/>
          <w:szCs w:val="32"/>
          <w:highlight w:val="none"/>
          <w:lang w:eastAsia="zh-CN"/>
        </w:rPr>
        <w:t>按照省定生均公用经费基础标准</w:t>
      </w:r>
      <w:r>
        <w:rPr>
          <w:rFonts w:hint="eastAsia" w:ascii="仿宋" w:hAnsi="仿宋" w:eastAsia="仿宋" w:cs="仿宋"/>
          <w:color w:val="000000"/>
          <w:sz w:val="32"/>
          <w:szCs w:val="32"/>
          <w:highlight w:val="none"/>
        </w:rPr>
        <w:t>免除</w:t>
      </w:r>
      <w:r>
        <w:rPr>
          <w:rFonts w:hint="eastAsia" w:ascii="仿宋" w:hAnsi="仿宋" w:eastAsia="仿宋" w:cs="仿宋"/>
          <w:color w:val="000000"/>
          <w:sz w:val="32"/>
          <w:szCs w:val="32"/>
          <w:highlight w:val="none"/>
          <w:lang w:eastAsia="zh-CN"/>
        </w:rPr>
        <w:t>学生的</w:t>
      </w:r>
      <w:r>
        <w:rPr>
          <w:rFonts w:hint="eastAsia" w:ascii="仿宋" w:hAnsi="仿宋" w:eastAsia="仿宋" w:cs="仿宋"/>
          <w:color w:val="000000"/>
          <w:sz w:val="32"/>
          <w:szCs w:val="32"/>
          <w:highlight w:val="none"/>
        </w:rPr>
        <w:t>学杂费</w:t>
      </w:r>
      <w:r>
        <w:rPr>
          <w:rFonts w:hint="eastAsia" w:ascii="仿宋" w:hAnsi="仿宋" w:eastAsia="仿宋" w:cs="仿宋"/>
          <w:color w:val="000000"/>
          <w:sz w:val="32"/>
          <w:szCs w:val="32"/>
          <w:highlight w:val="none"/>
          <w:lang w:eastAsia="zh-CN"/>
        </w:rPr>
        <w:t>，收取住宿费的民办和城市公办义务教育学校，按照财政对寄宿制学校补助公用经费的增加部分，相应减免寄宿生住宿费</w:t>
      </w:r>
      <w:r>
        <w:rPr>
          <w:rFonts w:hint="eastAsia" w:ascii="仿宋" w:hAnsi="仿宋" w:eastAsia="仿宋" w:cs="仿宋"/>
          <w:color w:val="000000"/>
          <w:sz w:val="32"/>
          <w:szCs w:val="32"/>
          <w:highlight w:val="none"/>
        </w:rPr>
        <w:t>。民办学校学杂费标准低于获得的生均公用经费补助的，学校应免收学生学杂费，剩余补助资金由学校按照本文规定的公用经费支出范围使用。</w:t>
      </w:r>
    </w:p>
    <w:p>
      <w:pPr>
        <w:adjustRightInd w:val="0"/>
        <w:snapToGrid w:val="0"/>
        <w:spacing w:line="578" w:lineRule="exact"/>
        <w:ind w:firstLine="630"/>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rPr>
        <w:t>公用经费补助资金由中央与地方按规定比例分担，</w:t>
      </w:r>
      <w:r>
        <w:rPr>
          <w:rFonts w:hint="eastAsia" w:ascii="仿宋" w:hAnsi="仿宋" w:eastAsia="仿宋" w:cs="仿宋"/>
          <w:color w:val="000000"/>
          <w:sz w:val="32"/>
          <w:szCs w:val="32"/>
          <w:highlight w:val="none"/>
        </w:rPr>
        <w:t>用于保障学校正常运转、完成教育教学活动和其他日常工作任务等方面支出，具体支出范围包括：教学业务与管理、教师培训、实验实习、文体活动、水电、交通差旅、邮电，仪器设备及图书资料等购置，房屋、建筑物及仪器设备的日常维修维护等</w:t>
      </w:r>
      <w:r>
        <w:rPr>
          <w:rFonts w:hint="eastAsia" w:ascii="仿宋" w:hAnsi="仿宋" w:eastAsia="仿宋" w:cs="仿宋"/>
          <w:color w:val="000000"/>
          <w:sz w:val="32"/>
          <w:szCs w:val="32"/>
          <w:highlight w:val="none"/>
          <w:lang w:eastAsia="zh-CN"/>
        </w:rPr>
        <w:t>支出</w:t>
      </w:r>
      <w:r>
        <w:rPr>
          <w:rFonts w:hint="eastAsia" w:ascii="仿宋" w:hAnsi="仿宋" w:eastAsia="仿宋" w:cs="仿宋"/>
          <w:color w:val="000000"/>
          <w:sz w:val="32"/>
          <w:szCs w:val="32"/>
          <w:highlight w:val="none"/>
        </w:rPr>
        <w:t>。公用经费</w:t>
      </w:r>
      <w:r>
        <w:rPr>
          <w:rFonts w:hint="eastAsia" w:ascii="仿宋" w:hAnsi="仿宋" w:eastAsia="仿宋" w:cs="仿宋"/>
          <w:color w:val="000000"/>
          <w:sz w:val="32"/>
          <w:szCs w:val="32"/>
          <w:highlight w:val="none"/>
          <w:lang w:eastAsia="zh-CN"/>
        </w:rPr>
        <w:t>补助资金</w:t>
      </w:r>
      <w:r>
        <w:rPr>
          <w:rFonts w:hint="eastAsia" w:ascii="仿宋" w:hAnsi="仿宋" w:eastAsia="仿宋" w:cs="仿宋"/>
          <w:color w:val="000000"/>
          <w:sz w:val="32"/>
          <w:szCs w:val="32"/>
          <w:highlight w:val="none"/>
        </w:rPr>
        <w:t>不得用于</w:t>
      </w:r>
      <w:r>
        <w:rPr>
          <w:rFonts w:hint="eastAsia" w:ascii="仿宋" w:hAnsi="仿宋" w:eastAsia="仿宋" w:cs="仿宋"/>
          <w:color w:val="000000"/>
          <w:sz w:val="32"/>
          <w:szCs w:val="32"/>
          <w:highlight w:val="none"/>
          <w:lang w:eastAsia="zh-CN"/>
        </w:rPr>
        <w:t>教职工福利、临时聘用</w:t>
      </w:r>
      <w:r>
        <w:rPr>
          <w:rFonts w:hint="eastAsia" w:ascii="仿宋" w:hAnsi="仿宋" w:eastAsia="仿宋" w:cs="仿宋"/>
          <w:color w:val="000000"/>
          <w:sz w:val="32"/>
          <w:szCs w:val="32"/>
          <w:highlight w:val="none"/>
        </w:rPr>
        <w:t>人员</w:t>
      </w:r>
      <w:r>
        <w:rPr>
          <w:rFonts w:hint="eastAsia" w:ascii="仿宋" w:hAnsi="仿宋" w:eastAsia="仿宋" w:cs="仿宋"/>
          <w:color w:val="000000"/>
          <w:sz w:val="32"/>
          <w:szCs w:val="32"/>
          <w:highlight w:val="none"/>
          <w:lang w:eastAsia="zh-CN"/>
        </w:rPr>
        <w:t>工资等人员</w:t>
      </w:r>
      <w:r>
        <w:rPr>
          <w:rFonts w:hint="eastAsia" w:ascii="仿宋" w:hAnsi="仿宋" w:eastAsia="仿宋" w:cs="仿宋"/>
          <w:color w:val="000000"/>
          <w:sz w:val="32"/>
          <w:szCs w:val="32"/>
          <w:highlight w:val="none"/>
        </w:rPr>
        <w:t>经费、基本建设投资、偿还债务等方面的支出。其中，</w:t>
      </w:r>
      <w:r>
        <w:rPr>
          <w:rFonts w:hint="eastAsia" w:ascii="仿宋" w:hAnsi="仿宋" w:eastAsia="仿宋" w:cs="仿宋"/>
          <w:color w:val="000000"/>
          <w:sz w:val="32"/>
          <w:szCs w:val="32"/>
          <w:highlight w:val="none"/>
          <w:lang w:eastAsia="zh-CN"/>
        </w:rPr>
        <w:t>各市县要严格落实公用经费分担责任，按规定及时足额拨付义务教育学校公用经费，严禁滞拨缓拨经费，严禁挤占、挪用、截留、克扣经费。</w:t>
      </w:r>
    </w:p>
    <w:p>
      <w:pPr>
        <w:adjustRightInd w:val="0"/>
        <w:snapToGrid w:val="0"/>
        <w:spacing w:line="578" w:lineRule="exact"/>
        <w:ind w:firstLine="630"/>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巩固完善</w:t>
      </w:r>
      <w:r>
        <w:rPr>
          <w:rFonts w:hint="eastAsia" w:ascii="仿宋" w:hAnsi="仿宋" w:eastAsia="仿宋" w:cs="仿宋"/>
          <w:color w:val="000000"/>
          <w:sz w:val="32"/>
          <w:szCs w:val="32"/>
          <w:highlight w:val="none"/>
          <w:lang w:eastAsia="zh-CN"/>
        </w:rPr>
        <w:t>城乡</w:t>
      </w:r>
      <w:r>
        <w:rPr>
          <w:rFonts w:hint="eastAsia" w:ascii="仿宋" w:hAnsi="仿宋" w:eastAsia="仿宋" w:cs="仿宋"/>
          <w:color w:val="000000"/>
          <w:sz w:val="32"/>
          <w:szCs w:val="32"/>
          <w:highlight w:val="none"/>
        </w:rPr>
        <w:t>义务教育学校校舍安全保障长效机制，支持公办学校维修改造、抗震加固、改扩建校舍及其附属设施。</w:t>
      </w:r>
      <w:r>
        <w:rPr>
          <w:rFonts w:hint="eastAsia" w:ascii="仿宋" w:hAnsi="仿宋" w:eastAsia="仿宋" w:cs="仿宋"/>
          <w:color w:val="000000"/>
          <w:sz w:val="32"/>
          <w:szCs w:val="32"/>
          <w:highlight w:val="none"/>
          <w:lang w:eastAsia="zh-CN"/>
        </w:rPr>
        <w:t>农村</w:t>
      </w:r>
      <w:r>
        <w:rPr>
          <w:rFonts w:hint="eastAsia" w:ascii="仿宋" w:hAnsi="仿宋" w:eastAsia="仿宋" w:cs="仿宋"/>
          <w:color w:val="000000"/>
          <w:sz w:val="32"/>
          <w:szCs w:val="32"/>
        </w:rPr>
        <w:t>公办学校校舍单位面积补助测算标准由国家统一制定，所需资金由中央与地方按规定比例分担。</w:t>
      </w:r>
    </w:p>
    <w:p>
      <w:pPr>
        <w:adjustRightInd w:val="0"/>
        <w:snapToGrid w:val="0"/>
        <w:spacing w:line="578" w:lineRule="exact"/>
        <w:ind w:firstLine="630"/>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4.</w:t>
      </w:r>
      <w:r>
        <w:rPr>
          <w:rFonts w:hint="eastAsia" w:ascii="仿宋" w:hAnsi="仿宋" w:eastAsia="仿宋" w:cs="仿宋"/>
          <w:sz w:val="32"/>
          <w:szCs w:val="32"/>
          <w:lang w:eastAsia="zh-CN"/>
        </w:rPr>
        <w:t>对地方落实乡村教师生活补助等政策给予综合奖补，奖补资金根据奖补标准、调整系数等因素核定，地方统筹用于城乡义务教育经费保障机制相关支出。其中，对审计、财会监督等监督检查发现补助经费使用管理存在问题的市县，暂停参与分配综合奖补，待完成整改再视情况参与分配</w:t>
      </w:r>
      <w:r>
        <w:rPr>
          <w:rFonts w:hint="eastAsia" w:ascii="仿宋" w:hAnsi="仿宋" w:eastAsia="仿宋" w:cs="仿宋"/>
          <w:color w:val="000000"/>
          <w:sz w:val="32"/>
          <w:szCs w:val="32"/>
          <w:highlight w:val="none"/>
          <w:lang w:eastAsia="zh-CN"/>
        </w:rPr>
        <w:t>。</w:t>
      </w:r>
    </w:p>
    <w:p>
      <w:pPr>
        <w:adjustRightInd w:val="0"/>
        <w:snapToGrid w:val="0"/>
        <w:spacing w:line="578" w:lineRule="exact"/>
        <w:ind w:firstLine="630"/>
        <w:rPr>
          <w:rFonts w:hint="eastAsia" w:ascii="仿宋" w:hAnsi="仿宋" w:eastAsia="仿宋" w:cs="仿宋"/>
          <w:color w:val="000000"/>
          <w:sz w:val="32"/>
          <w:szCs w:val="32"/>
          <w:highlight w:val="none"/>
        </w:rPr>
      </w:pPr>
      <w:r>
        <w:rPr>
          <w:rFonts w:hint="eastAsia" w:ascii="楷体" w:hAnsi="楷体" w:eastAsia="楷体" w:cs="楷体"/>
          <w:color w:val="000000"/>
          <w:sz w:val="32"/>
          <w:szCs w:val="32"/>
          <w:highlight w:val="none"/>
        </w:rPr>
        <w:t>（</w:t>
      </w:r>
      <w:r>
        <w:rPr>
          <w:rFonts w:hint="eastAsia" w:ascii="楷体" w:hAnsi="楷体" w:eastAsia="楷体" w:cs="楷体"/>
          <w:color w:val="000000"/>
          <w:sz w:val="32"/>
          <w:szCs w:val="32"/>
          <w:highlight w:val="none"/>
          <w:lang w:eastAsia="zh-CN"/>
        </w:rPr>
        <w:t>二</w:t>
      </w:r>
      <w:r>
        <w:rPr>
          <w:rFonts w:hint="eastAsia" w:ascii="楷体" w:hAnsi="楷体" w:eastAsia="楷体" w:cs="楷体"/>
          <w:color w:val="000000"/>
          <w:sz w:val="32"/>
          <w:szCs w:val="32"/>
          <w:highlight w:val="none"/>
        </w:rPr>
        <w:t>）实施农村义务教育阶段学校教师特设岗位计划</w:t>
      </w:r>
      <w:r>
        <w:rPr>
          <w:rFonts w:hint="eastAsia" w:ascii="楷体" w:hAnsi="楷体" w:eastAsia="楷体" w:cs="楷体"/>
          <w:color w:val="000000"/>
          <w:sz w:val="32"/>
          <w:szCs w:val="32"/>
          <w:highlight w:val="none"/>
          <w:lang w:eastAsia="zh-CN"/>
        </w:rPr>
        <w:t>。</w:t>
      </w:r>
      <w:r>
        <w:rPr>
          <w:rFonts w:hint="eastAsia" w:ascii="仿宋" w:hAnsi="仿宋" w:eastAsia="仿宋" w:cs="仿宋"/>
          <w:color w:val="000000"/>
          <w:sz w:val="32"/>
          <w:szCs w:val="32"/>
          <w:highlight w:val="none"/>
        </w:rPr>
        <w:t>中央给予特岗教师工资性补助，以此工资性补助为基数，省</w:t>
      </w:r>
      <w:r>
        <w:rPr>
          <w:rFonts w:hint="eastAsia" w:ascii="仿宋" w:hAnsi="仿宋" w:eastAsia="仿宋" w:cs="仿宋"/>
          <w:color w:val="000000"/>
          <w:sz w:val="32"/>
          <w:szCs w:val="32"/>
          <w:highlight w:val="none"/>
          <w:lang w:eastAsia="zh-CN"/>
        </w:rPr>
        <w:t>级</w:t>
      </w:r>
      <w:r>
        <w:rPr>
          <w:rFonts w:hint="eastAsia" w:ascii="仿宋" w:hAnsi="仿宋" w:eastAsia="仿宋" w:cs="仿宋"/>
          <w:color w:val="000000"/>
          <w:sz w:val="32"/>
          <w:szCs w:val="32"/>
          <w:highlight w:val="none"/>
        </w:rPr>
        <w:t>相应</w:t>
      </w:r>
      <w:r>
        <w:rPr>
          <w:rFonts w:hint="eastAsia" w:ascii="仿宋" w:hAnsi="仿宋" w:eastAsia="仿宋" w:cs="仿宋"/>
          <w:color w:val="000000"/>
          <w:sz w:val="32"/>
          <w:szCs w:val="32"/>
          <w:highlight w:val="none"/>
          <w:lang w:eastAsia="zh-CN"/>
        </w:rPr>
        <w:t>负</w:t>
      </w:r>
      <w:r>
        <w:rPr>
          <w:rFonts w:hint="eastAsia" w:ascii="仿宋" w:hAnsi="仿宋" w:eastAsia="仿宋" w:cs="仿宋"/>
          <w:color w:val="000000"/>
          <w:sz w:val="32"/>
          <w:szCs w:val="32"/>
          <w:highlight w:val="none"/>
        </w:rPr>
        <w:t>担需由单位承担的社会保险缴费、住房公积金以及特岗教师必要的交通补助，市县财政统筹使用各级财政资金落实特岗教师工资政策。补助资金按规定据实结算。</w:t>
      </w:r>
    </w:p>
    <w:p>
      <w:pPr>
        <w:adjustRightInd w:val="0"/>
        <w:snapToGrid w:val="0"/>
        <w:spacing w:line="578" w:lineRule="exact"/>
        <w:ind w:firstLine="630"/>
        <w:rPr>
          <w:rFonts w:hint="eastAsia" w:ascii="仿宋" w:hAnsi="仿宋" w:eastAsia="仿宋" w:cs="仿宋"/>
          <w:color w:val="000000"/>
          <w:sz w:val="32"/>
          <w:szCs w:val="32"/>
          <w:highlight w:val="none"/>
        </w:rPr>
      </w:pPr>
      <w:r>
        <w:rPr>
          <w:rFonts w:hint="eastAsia" w:ascii="楷体" w:hAnsi="楷体" w:eastAsia="楷体" w:cs="楷体"/>
          <w:color w:val="000000"/>
          <w:sz w:val="32"/>
          <w:szCs w:val="32"/>
          <w:highlight w:val="none"/>
        </w:rPr>
        <w:t>（</w:t>
      </w:r>
      <w:r>
        <w:rPr>
          <w:rFonts w:hint="eastAsia" w:ascii="楷体" w:hAnsi="楷体" w:eastAsia="楷体" w:cs="楷体"/>
          <w:color w:val="000000"/>
          <w:sz w:val="32"/>
          <w:szCs w:val="32"/>
          <w:highlight w:val="none"/>
          <w:lang w:eastAsia="zh-CN"/>
        </w:rPr>
        <w:t>三</w:t>
      </w:r>
      <w:r>
        <w:rPr>
          <w:rFonts w:hint="eastAsia" w:ascii="楷体" w:hAnsi="楷体" w:eastAsia="楷体" w:cs="楷体"/>
          <w:color w:val="000000"/>
          <w:sz w:val="32"/>
          <w:szCs w:val="32"/>
          <w:highlight w:val="none"/>
        </w:rPr>
        <w:t>）实施农村义务教育学生营养改善计划。</w:t>
      </w:r>
      <w:r>
        <w:rPr>
          <w:rFonts w:hint="eastAsia" w:ascii="仿宋" w:hAnsi="仿宋" w:eastAsia="仿宋" w:cs="仿宋"/>
          <w:color w:val="000000"/>
          <w:sz w:val="32"/>
          <w:szCs w:val="32"/>
        </w:rPr>
        <w:t>国家统一制定学生营养膳食补助国家基础标准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所需资金由中央与地方按规定比例分担。</w:t>
      </w:r>
    </w:p>
    <w:p>
      <w:pPr>
        <w:adjustRightInd w:val="0"/>
        <w:snapToGrid w:val="0"/>
        <w:spacing w:line="578" w:lineRule="exact"/>
        <w:ind w:firstLine="630"/>
        <w:rPr>
          <w:rFonts w:hint="eastAsia" w:ascii="仿宋" w:hAnsi="仿宋" w:eastAsia="仿宋" w:cs="仿宋"/>
          <w:color w:val="000000"/>
          <w:sz w:val="32"/>
          <w:szCs w:val="32"/>
          <w:highlight w:val="none"/>
          <w:lang w:eastAsia="zh-CN"/>
        </w:rPr>
      </w:pPr>
      <w:r>
        <w:rPr>
          <w:rFonts w:hint="eastAsia" w:ascii="黑体" w:hAnsi="黑体" w:eastAsia="黑体" w:cs="Arial"/>
          <w:color w:val="000000"/>
          <w:sz w:val="32"/>
          <w:szCs w:val="32"/>
          <w:highlight w:val="none"/>
        </w:rPr>
        <w:t xml:space="preserve">第五条 </w:t>
      </w:r>
      <w:r>
        <w:rPr>
          <w:rFonts w:hint="eastAsia" w:ascii="黑体" w:hAnsi="黑体" w:eastAsia="黑体" w:cs="Arial"/>
          <w:color w:val="000000"/>
          <w:sz w:val="32"/>
          <w:szCs w:val="32"/>
          <w:highlight w:val="none"/>
          <w:lang w:val="en-US" w:eastAsia="zh-CN"/>
        </w:rPr>
        <w:t xml:space="preserve"> </w:t>
      </w:r>
      <w:r>
        <w:rPr>
          <w:rFonts w:hint="eastAsia" w:ascii="仿宋" w:hAnsi="仿宋" w:eastAsia="仿宋" w:cs="仿宋"/>
          <w:bCs/>
          <w:color w:val="000000"/>
          <w:sz w:val="32"/>
          <w:szCs w:val="32"/>
          <w:highlight w:val="none"/>
          <w:lang w:eastAsia="zh-CN"/>
        </w:rPr>
        <w:t>省财政厅</w:t>
      </w:r>
      <w:r>
        <w:rPr>
          <w:rFonts w:hint="eastAsia" w:ascii="仿宋" w:hAnsi="仿宋" w:eastAsia="仿宋" w:cs="仿宋"/>
          <w:bCs/>
          <w:color w:val="000000"/>
          <w:sz w:val="32"/>
          <w:szCs w:val="32"/>
          <w:highlight w:val="none"/>
        </w:rPr>
        <w:t>、</w:t>
      </w:r>
      <w:r>
        <w:rPr>
          <w:rFonts w:hint="eastAsia" w:ascii="仿宋" w:hAnsi="仿宋" w:eastAsia="仿宋" w:cs="仿宋"/>
          <w:bCs/>
          <w:color w:val="000000"/>
          <w:sz w:val="32"/>
          <w:szCs w:val="32"/>
          <w:highlight w:val="none"/>
          <w:lang w:eastAsia="zh-CN"/>
        </w:rPr>
        <w:t>省</w:t>
      </w:r>
      <w:r>
        <w:rPr>
          <w:rFonts w:hint="eastAsia" w:ascii="仿宋" w:hAnsi="仿宋" w:eastAsia="仿宋" w:cs="仿宋"/>
          <w:bCs/>
          <w:color w:val="000000"/>
          <w:sz w:val="32"/>
          <w:szCs w:val="32"/>
          <w:highlight w:val="none"/>
        </w:rPr>
        <w:t>教育</w:t>
      </w:r>
      <w:r>
        <w:rPr>
          <w:rFonts w:hint="eastAsia" w:ascii="仿宋" w:hAnsi="仿宋" w:eastAsia="仿宋" w:cs="仿宋"/>
          <w:bCs/>
          <w:color w:val="000000"/>
          <w:sz w:val="32"/>
          <w:szCs w:val="32"/>
          <w:highlight w:val="none"/>
          <w:lang w:eastAsia="zh-CN"/>
        </w:rPr>
        <w:t>厅</w:t>
      </w:r>
      <w:r>
        <w:rPr>
          <w:rFonts w:hint="eastAsia" w:ascii="仿宋" w:hAnsi="仿宋" w:eastAsia="仿宋" w:cs="仿宋"/>
          <w:color w:val="000000"/>
          <w:sz w:val="32"/>
          <w:szCs w:val="32"/>
          <w:highlight w:val="none"/>
        </w:rPr>
        <w:t>根据</w:t>
      </w:r>
      <w:r>
        <w:rPr>
          <w:rFonts w:hint="eastAsia" w:ascii="仿宋" w:hAnsi="仿宋" w:eastAsia="仿宋" w:cs="仿宋"/>
          <w:bCs/>
          <w:color w:val="000000"/>
          <w:sz w:val="32"/>
          <w:szCs w:val="32"/>
          <w:highlight w:val="none"/>
          <w:lang w:eastAsia="zh-CN"/>
        </w:rPr>
        <w:t>国家</w:t>
      </w:r>
      <w:r>
        <w:rPr>
          <w:rFonts w:hint="eastAsia" w:ascii="仿宋" w:hAnsi="仿宋" w:eastAsia="仿宋" w:cs="仿宋"/>
          <w:color w:val="000000"/>
          <w:sz w:val="32"/>
          <w:szCs w:val="32"/>
          <w:highlight w:val="none"/>
        </w:rPr>
        <w:t>有关决策部署、</w:t>
      </w:r>
      <w:r>
        <w:rPr>
          <w:rFonts w:hint="eastAsia" w:ascii="仿宋" w:hAnsi="仿宋" w:eastAsia="仿宋" w:cs="仿宋"/>
          <w:color w:val="000000"/>
          <w:sz w:val="32"/>
          <w:szCs w:val="32"/>
          <w:highlight w:val="none"/>
          <w:lang w:eastAsia="zh-CN"/>
        </w:rPr>
        <w:t>我省</w:t>
      </w:r>
      <w:r>
        <w:rPr>
          <w:rFonts w:hint="eastAsia" w:ascii="仿宋" w:hAnsi="仿宋" w:eastAsia="仿宋" w:cs="仿宋"/>
          <w:color w:val="000000"/>
          <w:sz w:val="32"/>
          <w:szCs w:val="32"/>
          <w:highlight w:val="none"/>
        </w:rPr>
        <w:t>义务教育改革发展实际以及财力状况适时调整相关补助标准、分配因素</w:t>
      </w:r>
      <w:r>
        <w:rPr>
          <w:rFonts w:hint="eastAsia" w:ascii="仿宋" w:hAnsi="仿宋" w:eastAsia="仿宋" w:cs="仿宋"/>
          <w:color w:val="000000"/>
          <w:sz w:val="32"/>
          <w:szCs w:val="32"/>
          <w:highlight w:val="none"/>
          <w:lang w:eastAsia="zh-CN"/>
        </w:rPr>
        <w:t>等</w:t>
      </w:r>
      <w:r>
        <w:rPr>
          <w:rFonts w:hint="eastAsia" w:ascii="仿宋" w:hAnsi="仿宋" w:eastAsia="仿宋" w:cs="仿宋"/>
          <w:color w:val="000000"/>
          <w:sz w:val="32"/>
          <w:szCs w:val="32"/>
          <w:highlight w:val="none"/>
        </w:rPr>
        <w:t>，按规定报经</w:t>
      </w:r>
      <w:r>
        <w:rPr>
          <w:rFonts w:hint="eastAsia" w:ascii="仿宋" w:hAnsi="仿宋" w:eastAsia="仿宋" w:cs="仿宋"/>
          <w:color w:val="000000"/>
          <w:sz w:val="32"/>
          <w:szCs w:val="32"/>
          <w:highlight w:val="none"/>
          <w:lang w:eastAsia="zh-CN"/>
        </w:rPr>
        <w:t>省政府</w:t>
      </w:r>
      <w:r>
        <w:rPr>
          <w:rFonts w:hint="eastAsia" w:ascii="仿宋" w:hAnsi="仿宋" w:eastAsia="仿宋" w:cs="仿宋"/>
          <w:color w:val="000000"/>
          <w:sz w:val="32"/>
          <w:szCs w:val="32"/>
          <w:highlight w:val="none"/>
        </w:rPr>
        <w:t>批准后执行。</w:t>
      </w:r>
      <w:r>
        <w:rPr>
          <w:rFonts w:hint="eastAsia" w:ascii="仿宋" w:hAnsi="仿宋" w:eastAsia="仿宋" w:cs="仿宋"/>
          <w:color w:val="000000"/>
          <w:sz w:val="32"/>
          <w:szCs w:val="32"/>
        </w:rPr>
        <w:t>各市县提高义务教育经费保障相关标准或扩大</w:t>
      </w:r>
      <w:r>
        <w:rPr>
          <w:rFonts w:hint="eastAsia" w:ascii="仿宋" w:hAnsi="仿宋" w:eastAsia="仿宋" w:cs="仿宋"/>
          <w:color w:val="000000"/>
          <w:sz w:val="32"/>
          <w:szCs w:val="32"/>
          <w:lang w:eastAsia="zh-CN"/>
        </w:rPr>
        <w:t>保障</w:t>
      </w:r>
      <w:r>
        <w:rPr>
          <w:rFonts w:hint="eastAsia" w:ascii="仿宋" w:hAnsi="仿宋" w:eastAsia="仿宋" w:cs="仿宋"/>
          <w:color w:val="000000"/>
          <w:sz w:val="32"/>
          <w:szCs w:val="32"/>
        </w:rPr>
        <w:t>范围</w:t>
      </w:r>
      <w:r>
        <w:rPr>
          <w:rFonts w:hint="eastAsia" w:ascii="仿宋" w:hAnsi="仿宋" w:eastAsia="仿宋" w:cs="仿宋"/>
          <w:color w:val="000000"/>
          <w:sz w:val="32"/>
          <w:szCs w:val="32"/>
          <w:lang w:eastAsia="zh-CN"/>
        </w:rPr>
        <w:t>应按规定程序报批，提标扩面</w:t>
      </w:r>
      <w:r>
        <w:rPr>
          <w:rFonts w:hint="eastAsia" w:ascii="仿宋" w:hAnsi="仿宋" w:eastAsia="仿宋" w:cs="仿宋"/>
          <w:color w:val="000000"/>
          <w:sz w:val="32"/>
          <w:szCs w:val="32"/>
        </w:rPr>
        <w:t>产生的经费由各市县自行承担。</w:t>
      </w:r>
      <w:r>
        <w:rPr>
          <w:rFonts w:hint="eastAsia" w:ascii="仿宋" w:hAnsi="仿宋" w:eastAsia="仿宋" w:cs="仿宋"/>
          <w:color w:val="000000"/>
          <w:sz w:val="32"/>
          <w:szCs w:val="32"/>
          <w:highlight w:val="none"/>
          <w:lang w:eastAsia="zh-CN"/>
        </w:rPr>
        <w:t>现行补助标准和资金分担方法见附表。</w:t>
      </w:r>
    </w:p>
    <w:p>
      <w:pPr>
        <w:adjustRightInd w:val="0"/>
        <w:snapToGrid w:val="0"/>
        <w:spacing w:line="578" w:lineRule="exact"/>
        <w:ind w:firstLine="630"/>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城乡义务教育补助经费分配公式为：城乡义务教育补助经费=城乡义务教育经费保障机制资金+特岗教师工资性补助资金+学生营养改善计划补助资金。</w:t>
      </w:r>
    </w:p>
    <w:p>
      <w:pPr>
        <w:adjustRightInd w:val="0"/>
        <w:snapToGrid w:val="0"/>
        <w:spacing w:line="578" w:lineRule="exact"/>
        <w:ind w:firstLine="630"/>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超时限分配、超范围使用、逾期报送材料、监管或审计等问题在分配资金时作为扣减因素，前一年度出现以上问题的省属学校或市县将被扣减分配金额的2%。扣减资金参照因素法分配给其他省属学校或市县，体现奖优罚劣。</w:t>
      </w:r>
    </w:p>
    <w:p>
      <w:pPr>
        <w:numPr>
          <w:ilvl w:val="-1"/>
          <w:numId w:val="0"/>
        </w:numPr>
        <w:adjustRightInd w:val="0"/>
        <w:snapToGrid w:val="0"/>
        <w:spacing w:line="578" w:lineRule="exact"/>
        <w:ind w:firstLine="640" w:firstLineChars="200"/>
        <w:rPr>
          <w:rFonts w:hint="eastAsia" w:ascii="仿宋" w:hAnsi="仿宋" w:eastAsia="仿宋" w:cs="仿宋"/>
          <w:color w:val="000000"/>
          <w:sz w:val="32"/>
          <w:szCs w:val="32"/>
          <w:highlight w:val="none"/>
          <w:lang w:eastAsia="zh-CN"/>
        </w:rPr>
      </w:pPr>
      <w:r>
        <w:rPr>
          <w:rFonts w:hint="eastAsia" w:ascii="黑体" w:hAnsi="黑体" w:eastAsia="黑体" w:cs="黑体"/>
          <w:color w:val="000000"/>
          <w:sz w:val="32"/>
          <w:szCs w:val="32"/>
          <w:highlight w:val="none"/>
          <w:lang w:val="en-US" w:eastAsia="zh-CN"/>
        </w:rPr>
        <w:t>第六条</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lang w:eastAsia="zh-CN"/>
        </w:rPr>
        <w:t>各市县教育部门</w:t>
      </w:r>
      <w:r>
        <w:rPr>
          <w:rFonts w:hint="eastAsia" w:ascii="仿宋" w:hAnsi="仿宋" w:eastAsia="仿宋" w:cs="仿宋"/>
          <w:color w:val="000000"/>
          <w:sz w:val="32"/>
          <w:szCs w:val="32"/>
          <w:highlight w:val="none"/>
        </w:rPr>
        <w:t>应当</w:t>
      </w:r>
      <w:r>
        <w:rPr>
          <w:rFonts w:hint="eastAsia" w:ascii="仿宋" w:hAnsi="仿宋" w:eastAsia="仿宋" w:cs="仿宋"/>
          <w:color w:val="000000"/>
          <w:sz w:val="32"/>
          <w:szCs w:val="32"/>
          <w:highlight w:val="none"/>
          <w:lang w:eastAsia="zh-CN"/>
        </w:rPr>
        <w:t>会同财政</w:t>
      </w:r>
      <w:r>
        <w:rPr>
          <w:rFonts w:hint="eastAsia" w:ascii="仿宋" w:hAnsi="仿宋" w:eastAsia="仿宋" w:cs="仿宋"/>
          <w:color w:val="000000"/>
          <w:sz w:val="32"/>
          <w:szCs w:val="32"/>
          <w:highlight w:val="none"/>
        </w:rPr>
        <w:t>部门于每年</w:t>
      </w: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10日</w:t>
      </w:r>
      <w:r>
        <w:rPr>
          <w:rFonts w:hint="eastAsia" w:ascii="仿宋" w:hAnsi="仿宋" w:eastAsia="仿宋" w:cs="仿宋"/>
          <w:color w:val="000000"/>
          <w:sz w:val="32"/>
          <w:szCs w:val="32"/>
          <w:highlight w:val="none"/>
        </w:rPr>
        <w:t>前向</w:t>
      </w:r>
      <w:r>
        <w:rPr>
          <w:rFonts w:hint="eastAsia" w:ascii="仿宋" w:hAnsi="仿宋" w:eastAsia="仿宋" w:cs="仿宋"/>
          <w:color w:val="000000"/>
          <w:sz w:val="32"/>
          <w:szCs w:val="32"/>
          <w:highlight w:val="none"/>
          <w:lang w:eastAsia="zh-CN"/>
        </w:rPr>
        <w:t>省</w:t>
      </w:r>
      <w:r>
        <w:rPr>
          <w:rFonts w:hint="eastAsia" w:ascii="仿宋" w:hAnsi="仿宋" w:eastAsia="仿宋" w:cs="仿宋"/>
          <w:color w:val="000000"/>
          <w:sz w:val="32"/>
          <w:szCs w:val="32"/>
          <w:highlight w:val="none"/>
        </w:rPr>
        <w:t>教育</w:t>
      </w:r>
      <w:r>
        <w:rPr>
          <w:rFonts w:hint="eastAsia" w:ascii="仿宋" w:hAnsi="仿宋" w:eastAsia="仿宋" w:cs="仿宋"/>
          <w:color w:val="000000"/>
          <w:sz w:val="32"/>
          <w:szCs w:val="32"/>
          <w:highlight w:val="none"/>
          <w:lang w:eastAsia="zh-CN"/>
        </w:rPr>
        <w:t>厅</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省</w:t>
      </w:r>
      <w:r>
        <w:rPr>
          <w:rFonts w:hint="eastAsia" w:ascii="仿宋" w:hAnsi="仿宋" w:eastAsia="仿宋" w:cs="仿宋"/>
          <w:color w:val="000000"/>
          <w:sz w:val="32"/>
          <w:szCs w:val="32"/>
          <w:highlight w:val="none"/>
        </w:rPr>
        <w:t>财政</w:t>
      </w:r>
      <w:r>
        <w:rPr>
          <w:rFonts w:hint="eastAsia" w:ascii="仿宋" w:hAnsi="仿宋" w:eastAsia="仿宋" w:cs="仿宋"/>
          <w:color w:val="000000"/>
          <w:sz w:val="32"/>
          <w:szCs w:val="32"/>
          <w:highlight w:val="none"/>
          <w:lang w:eastAsia="zh-CN"/>
        </w:rPr>
        <w:t>厅</w:t>
      </w:r>
      <w:r>
        <w:rPr>
          <w:rFonts w:hint="eastAsia" w:ascii="仿宋" w:hAnsi="仿宋" w:eastAsia="仿宋" w:cs="仿宋"/>
          <w:color w:val="000000"/>
          <w:sz w:val="32"/>
          <w:szCs w:val="32"/>
          <w:highlight w:val="none"/>
        </w:rPr>
        <w:t>报送当年补助经费申报材料</w:t>
      </w:r>
      <w:r>
        <w:rPr>
          <w:rFonts w:hint="eastAsia" w:ascii="仿宋" w:hAnsi="仿宋" w:eastAsia="仿宋" w:cs="仿宋"/>
          <w:color w:val="000000"/>
          <w:sz w:val="32"/>
          <w:szCs w:val="32"/>
          <w:highlight w:val="none"/>
          <w:lang w:eastAsia="zh-CN"/>
        </w:rPr>
        <w:t>。</w:t>
      </w:r>
    </w:p>
    <w:p>
      <w:pPr>
        <w:numPr>
          <w:ilvl w:val="0"/>
          <w:numId w:val="0"/>
        </w:numPr>
        <w:adjustRightInd w:val="0"/>
        <w:snapToGrid w:val="0"/>
        <w:spacing w:line="578" w:lineRule="exact"/>
        <w:ind w:firstLine="0" w:firstLineChars="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申报材料主要包括：</w:t>
      </w:r>
    </w:p>
    <w:p>
      <w:pPr>
        <w:adjustRightInd w:val="0"/>
        <w:snapToGrid w:val="0"/>
        <w:spacing w:line="578" w:lineRule="exact"/>
        <w:ind w:firstLine="645"/>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（一）上年度工作总结，主要包括上年度</w:t>
      </w:r>
      <w:r>
        <w:rPr>
          <w:rFonts w:hint="eastAsia" w:ascii="仿宋" w:hAnsi="仿宋" w:eastAsia="仿宋" w:cs="仿宋"/>
          <w:color w:val="000000"/>
          <w:sz w:val="32"/>
          <w:szCs w:val="32"/>
          <w:highlight w:val="none"/>
          <w:lang w:eastAsia="zh-CN"/>
        </w:rPr>
        <w:t>各级和本级</w:t>
      </w:r>
      <w:r>
        <w:rPr>
          <w:rFonts w:hint="eastAsia" w:ascii="仿宋" w:hAnsi="仿宋" w:eastAsia="仿宋" w:cs="仿宋"/>
          <w:color w:val="000000"/>
          <w:sz w:val="32"/>
          <w:szCs w:val="32"/>
          <w:highlight w:val="none"/>
        </w:rPr>
        <w:t>补助经费</w:t>
      </w:r>
      <w:r>
        <w:rPr>
          <w:rFonts w:hint="eastAsia" w:ascii="仿宋" w:hAnsi="仿宋" w:eastAsia="仿宋" w:cs="仿宋"/>
          <w:color w:val="000000"/>
          <w:sz w:val="32"/>
          <w:szCs w:val="32"/>
          <w:highlight w:val="none"/>
          <w:lang w:eastAsia="zh-CN"/>
        </w:rPr>
        <w:t>安排、</w:t>
      </w:r>
      <w:r>
        <w:rPr>
          <w:rFonts w:hint="eastAsia" w:ascii="仿宋" w:hAnsi="仿宋" w:eastAsia="仿宋" w:cs="仿宋"/>
          <w:color w:val="000000"/>
          <w:sz w:val="32"/>
          <w:szCs w:val="32"/>
          <w:highlight w:val="none"/>
        </w:rPr>
        <w:t>使用</w:t>
      </w:r>
      <w:r>
        <w:rPr>
          <w:rFonts w:hint="eastAsia" w:ascii="仿宋" w:hAnsi="仿宋" w:eastAsia="仿宋" w:cs="仿宋"/>
          <w:color w:val="000000"/>
          <w:sz w:val="32"/>
          <w:szCs w:val="32"/>
          <w:highlight w:val="none"/>
          <w:lang w:eastAsia="zh-CN"/>
        </w:rPr>
        <w:t>和结余、结转</w:t>
      </w:r>
      <w:r>
        <w:rPr>
          <w:rFonts w:hint="eastAsia" w:ascii="仿宋" w:hAnsi="仿宋" w:eastAsia="仿宋" w:cs="仿宋"/>
          <w:color w:val="000000"/>
          <w:sz w:val="32"/>
          <w:szCs w:val="32"/>
          <w:highlight w:val="none"/>
        </w:rPr>
        <w:t>情况、年度绩效目标完成情况、主要管理措施</w:t>
      </w:r>
      <w:r>
        <w:rPr>
          <w:rFonts w:hint="eastAsia" w:ascii="仿宋" w:hAnsi="仿宋" w:eastAsia="仿宋" w:cs="仿宋"/>
          <w:color w:val="000000"/>
          <w:sz w:val="32"/>
          <w:szCs w:val="32"/>
          <w:highlight w:val="none"/>
          <w:lang w:eastAsia="zh-CN"/>
        </w:rPr>
        <w:t>和成绩</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存在</w:t>
      </w:r>
      <w:r>
        <w:rPr>
          <w:rFonts w:hint="eastAsia" w:ascii="仿宋" w:hAnsi="仿宋" w:eastAsia="仿宋" w:cs="仿宋"/>
          <w:color w:val="000000"/>
          <w:sz w:val="32"/>
          <w:szCs w:val="32"/>
          <w:highlight w:val="none"/>
        </w:rPr>
        <w:t>问题</w:t>
      </w:r>
      <w:r>
        <w:rPr>
          <w:rFonts w:hint="eastAsia" w:ascii="仿宋" w:hAnsi="仿宋" w:eastAsia="仿宋" w:cs="仿宋"/>
          <w:color w:val="000000"/>
          <w:sz w:val="32"/>
          <w:szCs w:val="32"/>
          <w:highlight w:val="none"/>
          <w:lang w:eastAsia="zh-CN"/>
        </w:rPr>
        <w:t>（包括各级审计部门、财政部海南监管局等发现问题）</w:t>
      </w:r>
      <w:r>
        <w:rPr>
          <w:rFonts w:hint="eastAsia" w:ascii="仿宋" w:hAnsi="仿宋" w:eastAsia="仿宋" w:cs="仿宋"/>
          <w:color w:val="000000"/>
          <w:sz w:val="32"/>
          <w:szCs w:val="32"/>
          <w:highlight w:val="none"/>
        </w:rPr>
        <w:t>及</w:t>
      </w:r>
      <w:r>
        <w:rPr>
          <w:rFonts w:hint="eastAsia" w:ascii="仿宋" w:hAnsi="仿宋" w:eastAsia="仿宋" w:cs="仿宋"/>
          <w:color w:val="000000"/>
          <w:sz w:val="32"/>
          <w:szCs w:val="32"/>
          <w:highlight w:val="none"/>
          <w:lang w:eastAsia="zh-CN"/>
        </w:rPr>
        <w:t>整改情况和下一步措施</w:t>
      </w:r>
      <w:r>
        <w:rPr>
          <w:rFonts w:hint="eastAsia" w:ascii="仿宋" w:hAnsi="仿宋" w:eastAsia="仿宋" w:cs="仿宋"/>
          <w:color w:val="000000"/>
          <w:sz w:val="32"/>
          <w:szCs w:val="32"/>
          <w:highlight w:val="none"/>
        </w:rPr>
        <w:t>。</w:t>
      </w:r>
    </w:p>
    <w:p>
      <w:pPr>
        <w:adjustRightInd w:val="0"/>
        <w:snapToGrid w:val="0"/>
        <w:spacing w:line="578" w:lineRule="exact"/>
        <w:ind w:firstLine="645"/>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（二）当年工作计划，主要包括当年全</w:t>
      </w:r>
      <w:r>
        <w:rPr>
          <w:rFonts w:hint="eastAsia" w:ascii="仿宋" w:hAnsi="仿宋" w:eastAsia="仿宋" w:cs="仿宋"/>
          <w:color w:val="000000"/>
          <w:sz w:val="32"/>
          <w:szCs w:val="32"/>
          <w:highlight w:val="none"/>
          <w:lang w:eastAsia="zh-CN"/>
        </w:rPr>
        <w:t>市（县）</w:t>
      </w:r>
      <w:r>
        <w:rPr>
          <w:rFonts w:hint="eastAsia" w:ascii="仿宋" w:hAnsi="仿宋" w:eastAsia="仿宋" w:cs="仿宋"/>
          <w:color w:val="000000"/>
          <w:sz w:val="32"/>
          <w:szCs w:val="32"/>
          <w:highlight w:val="none"/>
        </w:rPr>
        <w:t>义务教育工作目标、补助经费绩效目标表、重点任务和资金安排计划</w:t>
      </w:r>
      <w:r>
        <w:rPr>
          <w:rFonts w:hint="eastAsia" w:ascii="仿宋" w:hAnsi="仿宋" w:eastAsia="仿宋" w:cs="仿宋"/>
          <w:color w:val="000000"/>
          <w:sz w:val="32"/>
          <w:szCs w:val="32"/>
          <w:highlight w:val="none"/>
          <w:lang w:eastAsia="zh-CN"/>
        </w:rPr>
        <w:t>（结余、结转资金单列，并纳入申报总额）</w:t>
      </w:r>
      <w:r>
        <w:rPr>
          <w:rFonts w:hint="eastAsia" w:ascii="仿宋" w:hAnsi="仿宋" w:eastAsia="仿宋" w:cs="仿宋"/>
          <w:color w:val="000000"/>
          <w:sz w:val="32"/>
          <w:szCs w:val="32"/>
          <w:highlight w:val="none"/>
        </w:rPr>
        <w:t>，绩效指标要指向明确、细化量化、合理可行、相应匹配。</w:t>
      </w:r>
    </w:p>
    <w:p>
      <w:pPr>
        <w:widowControl w:val="0"/>
        <w:adjustRightInd w:val="0"/>
        <w:snapToGrid w:val="0"/>
        <w:spacing w:line="578" w:lineRule="exact"/>
        <w:ind w:firstLine="640" w:firstLineChars="200"/>
        <w:rPr>
          <w:rFonts w:hint="eastAsia" w:ascii="仿宋" w:hAnsi="仿宋" w:eastAsia="仿宋" w:cs="仿宋"/>
          <w:color w:val="000000"/>
          <w:sz w:val="32"/>
          <w:szCs w:val="32"/>
          <w:highlight w:val="none"/>
        </w:rPr>
      </w:pPr>
      <w:r>
        <w:rPr>
          <w:rFonts w:hint="eastAsia" w:ascii="黑体" w:hAnsi="黑体" w:eastAsia="黑体" w:cs="仿宋_GB2312"/>
          <w:color w:val="000000"/>
          <w:sz w:val="32"/>
          <w:szCs w:val="32"/>
          <w:highlight w:val="none"/>
        </w:rPr>
        <w:t>第</w:t>
      </w:r>
      <w:r>
        <w:rPr>
          <w:rFonts w:hint="eastAsia" w:ascii="黑体" w:hAnsi="黑体" w:eastAsia="黑体" w:cs="华文仿宋"/>
          <w:color w:val="000000"/>
          <w:sz w:val="32"/>
          <w:szCs w:val="32"/>
          <w:highlight w:val="none"/>
        </w:rPr>
        <w:t>七</w:t>
      </w:r>
      <w:r>
        <w:rPr>
          <w:rFonts w:hint="eastAsia" w:ascii="黑体" w:hAnsi="黑体" w:eastAsia="黑体" w:cs="仿宋_GB2312"/>
          <w:color w:val="000000"/>
          <w:sz w:val="32"/>
          <w:szCs w:val="32"/>
          <w:highlight w:val="none"/>
        </w:rPr>
        <w:t xml:space="preserve">条 </w:t>
      </w:r>
      <w:r>
        <w:rPr>
          <w:rFonts w:hint="eastAsia" w:ascii="黑体" w:hAnsi="黑体" w:eastAsia="黑体" w:cs="仿宋_GB2312"/>
          <w:color w:val="000000"/>
          <w:sz w:val="32"/>
          <w:szCs w:val="32"/>
          <w:highlight w:val="none"/>
          <w:lang w:val="en-US" w:eastAsia="zh-CN"/>
        </w:rPr>
        <w:t xml:space="preserve"> </w:t>
      </w:r>
      <w:r>
        <w:rPr>
          <w:rFonts w:hint="eastAsia" w:ascii="仿宋" w:hAnsi="仿宋" w:eastAsia="仿宋" w:cs="仿宋"/>
          <w:color w:val="000000"/>
          <w:sz w:val="32"/>
          <w:szCs w:val="32"/>
          <w:highlight w:val="none"/>
        </w:rPr>
        <w:t>补助经费由省财政厅、省教育厅共同管理。省教育厅负责审核</w:t>
      </w:r>
      <w:r>
        <w:rPr>
          <w:rFonts w:hint="eastAsia" w:ascii="仿宋" w:hAnsi="仿宋" w:eastAsia="仿宋" w:cs="仿宋"/>
          <w:color w:val="000000"/>
          <w:sz w:val="32"/>
          <w:szCs w:val="32"/>
          <w:highlight w:val="none"/>
          <w:lang w:eastAsia="zh-CN"/>
        </w:rPr>
        <w:t>市县</w:t>
      </w:r>
      <w:r>
        <w:rPr>
          <w:rFonts w:hint="eastAsia" w:ascii="仿宋" w:hAnsi="仿宋" w:eastAsia="仿宋" w:cs="仿宋"/>
          <w:color w:val="000000"/>
          <w:sz w:val="32"/>
          <w:szCs w:val="32"/>
          <w:highlight w:val="none"/>
        </w:rPr>
        <w:t>相关材料和数据，提供资金测算需要的基础数据，并提出资金需求测算方案。省财政厅根据预算管理相关规定，会同</w:t>
      </w:r>
      <w:r>
        <w:rPr>
          <w:rFonts w:hint="eastAsia" w:ascii="仿宋" w:hAnsi="仿宋" w:eastAsia="仿宋" w:cs="仿宋"/>
          <w:color w:val="000000"/>
          <w:sz w:val="32"/>
          <w:szCs w:val="32"/>
          <w:highlight w:val="none"/>
          <w:lang w:eastAsia="zh-CN"/>
        </w:rPr>
        <w:t>省</w:t>
      </w:r>
      <w:r>
        <w:rPr>
          <w:rFonts w:hint="eastAsia" w:ascii="仿宋" w:hAnsi="仿宋" w:eastAsia="仿宋" w:cs="仿宋"/>
          <w:color w:val="000000"/>
          <w:sz w:val="32"/>
          <w:szCs w:val="32"/>
          <w:highlight w:val="none"/>
        </w:rPr>
        <w:t>教育</w:t>
      </w:r>
      <w:r>
        <w:rPr>
          <w:rFonts w:hint="eastAsia" w:ascii="仿宋" w:hAnsi="仿宋" w:eastAsia="仿宋" w:cs="仿宋"/>
          <w:color w:val="000000"/>
          <w:sz w:val="32"/>
          <w:szCs w:val="32"/>
          <w:highlight w:val="none"/>
          <w:lang w:eastAsia="zh-CN"/>
        </w:rPr>
        <w:t>厅</w:t>
      </w:r>
      <w:r>
        <w:rPr>
          <w:rFonts w:hint="eastAsia" w:ascii="仿宋" w:hAnsi="仿宋" w:eastAsia="仿宋" w:cs="仿宋"/>
          <w:color w:val="000000"/>
          <w:sz w:val="32"/>
          <w:szCs w:val="32"/>
          <w:highlight w:val="none"/>
        </w:rPr>
        <w:t>研究确定各</w:t>
      </w:r>
      <w:r>
        <w:rPr>
          <w:rFonts w:hint="eastAsia" w:ascii="仿宋" w:hAnsi="仿宋" w:eastAsia="仿宋" w:cs="仿宋"/>
          <w:color w:val="000000"/>
          <w:sz w:val="32"/>
          <w:szCs w:val="32"/>
          <w:highlight w:val="none"/>
          <w:lang w:eastAsia="zh-CN"/>
        </w:rPr>
        <w:t>市县（单位）</w:t>
      </w:r>
      <w:r>
        <w:rPr>
          <w:rFonts w:hint="eastAsia" w:ascii="仿宋" w:hAnsi="仿宋" w:eastAsia="仿宋" w:cs="仿宋"/>
          <w:color w:val="000000"/>
          <w:sz w:val="32"/>
          <w:szCs w:val="32"/>
          <w:highlight w:val="none"/>
        </w:rPr>
        <w:t>补助经费预算金额。</w:t>
      </w:r>
    </w:p>
    <w:p>
      <w:pPr>
        <w:widowControl w:val="0"/>
        <w:adjustRightInd w:val="0"/>
        <w:snapToGrid w:val="0"/>
        <w:spacing w:line="578" w:lineRule="exact"/>
        <w:ind w:firstLine="640" w:firstLineChars="200"/>
        <w:rPr>
          <w:rFonts w:hint="eastAsia" w:ascii="仿宋" w:hAnsi="仿宋" w:eastAsia="仿宋" w:cs="仿宋"/>
          <w:color w:val="000000"/>
          <w:sz w:val="32"/>
          <w:szCs w:val="32"/>
          <w:highlight w:val="none"/>
          <w:lang w:eastAsia="zh-CN"/>
        </w:rPr>
      </w:pPr>
      <w:r>
        <w:rPr>
          <w:rFonts w:hint="eastAsia" w:ascii="黑体" w:hAnsi="黑体" w:eastAsia="黑体" w:cs="华文仿宋"/>
          <w:color w:val="000000"/>
          <w:sz w:val="32"/>
          <w:szCs w:val="32"/>
          <w:highlight w:val="none"/>
        </w:rPr>
        <w:t>第</w:t>
      </w:r>
      <w:r>
        <w:rPr>
          <w:rFonts w:hint="eastAsia" w:ascii="黑体" w:hAnsi="黑体" w:eastAsia="黑体" w:cs="仿宋_GB2312"/>
          <w:color w:val="000000"/>
          <w:sz w:val="32"/>
          <w:szCs w:val="32"/>
          <w:highlight w:val="none"/>
        </w:rPr>
        <w:t>八</w:t>
      </w:r>
      <w:r>
        <w:rPr>
          <w:rFonts w:hint="eastAsia" w:ascii="黑体" w:hAnsi="黑体" w:eastAsia="黑体" w:cs="华文仿宋"/>
          <w:color w:val="000000"/>
          <w:sz w:val="32"/>
          <w:szCs w:val="32"/>
          <w:highlight w:val="none"/>
        </w:rPr>
        <w:t xml:space="preserve">条 </w:t>
      </w:r>
      <w:r>
        <w:rPr>
          <w:rFonts w:hint="eastAsia" w:ascii="黑体" w:hAnsi="黑体" w:eastAsia="黑体" w:cs="华文仿宋"/>
          <w:color w:val="000000"/>
          <w:sz w:val="32"/>
          <w:szCs w:val="32"/>
          <w:highlight w:val="none"/>
          <w:lang w:val="en-US" w:eastAsia="zh-CN"/>
        </w:rPr>
        <w:t xml:space="preserve"> </w:t>
      </w:r>
      <w:r>
        <w:rPr>
          <w:rFonts w:hint="eastAsia" w:ascii="仿宋_GB2312" w:hAnsi="仿宋" w:eastAsia="仿宋_GB2312" w:cs="华文仿宋"/>
          <w:color w:val="000000"/>
          <w:sz w:val="32"/>
          <w:szCs w:val="32"/>
          <w:highlight w:val="none"/>
          <w:lang w:eastAsia="zh-CN"/>
        </w:rPr>
        <w:t>省</w:t>
      </w:r>
      <w:r>
        <w:rPr>
          <w:rFonts w:hint="eastAsia" w:ascii="仿宋" w:hAnsi="仿宋" w:eastAsia="仿宋" w:cs="仿宋"/>
          <w:color w:val="000000"/>
          <w:sz w:val="32"/>
          <w:szCs w:val="32"/>
          <w:highlight w:val="none"/>
          <w:lang w:eastAsia="zh-CN"/>
        </w:rPr>
        <w:t>财政厅、省教育厅收到中央补助资金后，应当在30日内及时下达资金</w:t>
      </w:r>
      <w:r>
        <w:rPr>
          <w:rFonts w:hint="eastAsia" w:ascii="仿宋" w:hAnsi="仿宋" w:eastAsia="仿宋" w:cs="仿宋"/>
          <w:color w:val="auto"/>
          <w:sz w:val="32"/>
          <w:szCs w:val="32"/>
          <w:highlight w:val="none"/>
          <w:lang w:eastAsia="zh-CN" w:bidi="ar"/>
        </w:rPr>
        <w:t>，并抄送财政部海南监管局</w:t>
      </w:r>
      <w:r>
        <w:rPr>
          <w:rFonts w:hint="eastAsia" w:ascii="仿宋" w:hAnsi="仿宋" w:eastAsia="仿宋" w:cs="仿宋"/>
          <w:color w:val="000000"/>
          <w:sz w:val="32"/>
          <w:szCs w:val="32"/>
          <w:highlight w:val="none"/>
          <w:lang w:eastAsia="zh-CN"/>
        </w:rPr>
        <w:t>。省级补助资金应当在省本级预算批复后</w:t>
      </w:r>
      <w:r>
        <w:rPr>
          <w:rFonts w:hint="eastAsia" w:ascii="仿宋" w:hAnsi="仿宋" w:eastAsia="仿宋" w:cs="仿宋"/>
          <w:color w:val="000000"/>
          <w:sz w:val="32"/>
          <w:szCs w:val="32"/>
          <w:highlight w:val="none"/>
          <w:lang w:val="en-US" w:eastAsia="zh-CN"/>
        </w:rPr>
        <w:t>30</w:t>
      </w:r>
      <w:r>
        <w:rPr>
          <w:rFonts w:hint="eastAsia" w:ascii="仿宋" w:hAnsi="仿宋" w:eastAsia="仿宋" w:cs="仿宋"/>
          <w:color w:val="000000"/>
          <w:sz w:val="32"/>
          <w:szCs w:val="32"/>
          <w:highlight w:val="none"/>
          <w:lang w:eastAsia="zh-CN"/>
        </w:rPr>
        <w:t>日内正式下达。提前下达省级资金按照预算管理有关规定执行。</w:t>
      </w:r>
      <w:r>
        <w:rPr>
          <w:rFonts w:hint="eastAsia" w:ascii="仿宋" w:hAnsi="仿宋" w:eastAsia="仿宋" w:cs="仿宋"/>
          <w:color w:val="000000"/>
          <w:sz w:val="32"/>
          <w:szCs w:val="32"/>
          <w:highlight w:val="none"/>
        </w:rPr>
        <w:t>省教育厅收到中央下达的资金预算后15日内根据本办法提出中央及省级资金分配建议，并确定该资金的全省绩效目标。若省教育厅超过15日未报送资金分配建议，省财政厅将以上年教育基础数据或最新统计年鉴等数据、支出进度等为依据进行分配。</w:t>
      </w:r>
    </w:p>
    <w:p>
      <w:pPr>
        <w:widowControl w:val="0"/>
        <w:adjustRightInd w:val="0"/>
        <w:snapToGrid w:val="0"/>
        <w:spacing w:line="578" w:lineRule="exact"/>
        <w:ind w:firstLine="640" w:firstLineChars="200"/>
        <w:rPr>
          <w:rFonts w:ascii="仿宋_GB2312" w:hAnsi="仿宋" w:eastAsia="仿宋_GB2312" w:cs="华文仿宋"/>
          <w:color w:val="000000"/>
          <w:sz w:val="32"/>
          <w:szCs w:val="32"/>
          <w:highlight w:val="none"/>
        </w:rPr>
      </w:pPr>
      <w:r>
        <w:rPr>
          <w:rFonts w:hint="eastAsia" w:ascii="黑体" w:hAnsi="黑体" w:eastAsia="黑体" w:cs="华文仿宋"/>
          <w:color w:val="000000"/>
          <w:sz w:val="32"/>
          <w:szCs w:val="32"/>
          <w:highlight w:val="none"/>
        </w:rPr>
        <w:t xml:space="preserve">第九条 </w:t>
      </w:r>
      <w:r>
        <w:rPr>
          <w:rFonts w:hint="eastAsia" w:ascii="黑体" w:hAnsi="黑体" w:eastAsia="黑体" w:cs="华文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补助经费支付执行国库集中支付制度。涉及政府采购的，按照政府采购有关法律制度执行</w:t>
      </w:r>
      <w:r>
        <w:rPr>
          <w:rFonts w:hint="eastAsia" w:ascii="仿宋" w:hAnsi="仿宋" w:eastAsia="仿宋" w:cs="仿宋"/>
          <w:color w:val="000000"/>
          <w:sz w:val="32"/>
          <w:szCs w:val="32"/>
          <w:highlight w:val="none"/>
          <w:lang w:eastAsia="zh-CN"/>
        </w:rPr>
        <w:t>。</w:t>
      </w:r>
    </w:p>
    <w:p>
      <w:pPr>
        <w:adjustRightInd w:val="0"/>
        <w:snapToGrid w:val="0"/>
        <w:spacing w:line="578" w:lineRule="exact"/>
        <w:ind w:firstLine="640" w:firstLineChars="200"/>
        <w:rPr>
          <w:rFonts w:hint="eastAsia" w:ascii="仿宋" w:hAnsi="仿宋" w:eastAsia="仿宋" w:cs="仿宋"/>
          <w:color w:val="000000"/>
          <w:sz w:val="32"/>
          <w:szCs w:val="32"/>
          <w:highlight w:val="none"/>
        </w:rPr>
      </w:pPr>
      <w:r>
        <w:rPr>
          <w:rFonts w:hint="eastAsia" w:ascii="黑体" w:hAnsi="黑体" w:eastAsia="黑体" w:cs="华文仿宋"/>
          <w:color w:val="000000"/>
          <w:sz w:val="32"/>
          <w:szCs w:val="32"/>
          <w:highlight w:val="none"/>
        </w:rPr>
        <w:t xml:space="preserve">第十条 </w:t>
      </w:r>
      <w:r>
        <w:rPr>
          <w:rFonts w:hint="eastAsia" w:ascii="黑体" w:hAnsi="黑体" w:eastAsia="黑体" w:cs="华文仿宋"/>
          <w:color w:val="000000"/>
          <w:sz w:val="32"/>
          <w:szCs w:val="32"/>
          <w:highlight w:val="none"/>
          <w:lang w:val="en-US" w:eastAsia="zh-CN"/>
        </w:rPr>
        <w:t xml:space="preserve"> </w:t>
      </w:r>
      <w:r>
        <w:rPr>
          <w:rFonts w:hint="eastAsia" w:ascii="仿宋" w:hAnsi="仿宋" w:eastAsia="仿宋" w:cs="仿宋"/>
          <w:color w:val="000000"/>
          <w:sz w:val="32"/>
          <w:szCs w:val="32"/>
          <w:highlight w:val="none"/>
          <w:lang w:eastAsia="zh-CN"/>
        </w:rPr>
        <w:t>各市</w:t>
      </w:r>
      <w:r>
        <w:rPr>
          <w:rFonts w:hint="eastAsia" w:ascii="仿宋" w:hAnsi="仿宋" w:eastAsia="仿宋" w:cs="仿宋"/>
          <w:color w:val="000000"/>
          <w:sz w:val="32"/>
          <w:szCs w:val="32"/>
          <w:highlight w:val="none"/>
        </w:rPr>
        <w:t>县财政、教育部门应当落实经费管理的主体责任，加强区域内相关教育经费的统筹安排和使用，兼顾不同规模学校运转的实际情况，向乡镇寄宿制学校、乡村小规模学校、教学点、薄弱学校倾斜，保障学校基本需求；加强学校预算管理，细化预算编制，硬化预算执行，强化预算监督；规范学校财务管理，确保补助经费使用安全、规范和有效。</w:t>
      </w:r>
      <w:r>
        <w:rPr>
          <w:rFonts w:hint="eastAsia" w:ascii="仿宋" w:hAnsi="仿宋" w:eastAsia="仿宋" w:cs="仿宋"/>
          <w:color w:val="000000"/>
          <w:sz w:val="32"/>
          <w:szCs w:val="32"/>
          <w:highlight w:val="none"/>
          <w:lang w:eastAsia="zh-CN"/>
        </w:rPr>
        <w:t>各市</w:t>
      </w:r>
      <w:r>
        <w:rPr>
          <w:rFonts w:hint="eastAsia" w:ascii="仿宋" w:hAnsi="仿宋" w:eastAsia="仿宋" w:cs="仿宋"/>
          <w:color w:val="000000"/>
          <w:sz w:val="32"/>
          <w:szCs w:val="32"/>
          <w:highlight w:val="none"/>
        </w:rPr>
        <w:t>县教育部门应会同有关部门定期对辖区内学校校舍进行排查、核实，结合本地学校布局调整等规划，编制校舍安全保障</w:t>
      </w:r>
      <w:r>
        <w:rPr>
          <w:rFonts w:hint="eastAsia" w:ascii="仿宋" w:hAnsi="仿宋" w:eastAsia="仿宋" w:cs="仿宋"/>
          <w:color w:val="000000"/>
          <w:sz w:val="32"/>
          <w:szCs w:val="32"/>
          <w:highlight w:val="none"/>
          <w:lang w:eastAsia="zh-CN"/>
        </w:rPr>
        <w:t>三年</w:t>
      </w:r>
      <w:r>
        <w:rPr>
          <w:rFonts w:hint="eastAsia" w:ascii="仿宋" w:hAnsi="仿宋" w:eastAsia="仿宋" w:cs="仿宋"/>
          <w:color w:val="000000"/>
          <w:sz w:val="32"/>
          <w:szCs w:val="32"/>
          <w:highlight w:val="none"/>
        </w:rPr>
        <w:t>规划，</w:t>
      </w:r>
      <w:r>
        <w:rPr>
          <w:rFonts w:hint="eastAsia" w:ascii="仿宋" w:hAnsi="仿宋" w:eastAsia="仿宋" w:cs="仿宋"/>
          <w:color w:val="000000"/>
          <w:sz w:val="32"/>
          <w:szCs w:val="32"/>
          <w:highlight w:val="none"/>
          <w:lang w:eastAsia="zh-CN"/>
        </w:rPr>
        <w:t>并</w:t>
      </w:r>
      <w:r>
        <w:rPr>
          <w:rFonts w:hint="eastAsia" w:ascii="仿宋" w:hAnsi="仿宋" w:eastAsia="仿宋" w:cs="仿宋"/>
          <w:color w:val="000000"/>
          <w:sz w:val="32"/>
          <w:szCs w:val="32"/>
          <w:highlight w:val="none"/>
        </w:rPr>
        <w:t>逐级上报省级教育、财政部门备案。</w:t>
      </w:r>
    </w:p>
    <w:p>
      <w:pPr>
        <w:pStyle w:val="3"/>
        <w:adjustRightInd w:val="0"/>
        <w:snapToGrid w:val="0"/>
        <w:spacing w:line="578" w:lineRule="exact"/>
        <w:ind w:firstLine="636"/>
        <w:rPr>
          <w:rFonts w:hint="eastAsia" w:ascii="仿宋" w:hAnsi="仿宋" w:eastAsia="仿宋" w:cs="仿宋"/>
          <w:color w:val="000000"/>
          <w:sz w:val="32"/>
          <w:szCs w:val="32"/>
          <w:highlight w:val="none"/>
        </w:rPr>
      </w:pPr>
      <w:r>
        <w:rPr>
          <w:rFonts w:hint="eastAsia" w:ascii="黑体" w:hAnsi="黑体" w:eastAsia="黑体" w:cs="宋体"/>
          <w:color w:val="000000"/>
          <w:sz w:val="32"/>
          <w:szCs w:val="32"/>
          <w:highlight w:val="none"/>
        </w:rPr>
        <w:t>第十</w:t>
      </w:r>
      <w:r>
        <w:rPr>
          <w:rFonts w:hint="eastAsia" w:ascii="黑体" w:hAnsi="黑体" w:eastAsia="黑体" w:cs="宋体"/>
          <w:color w:val="000000"/>
          <w:sz w:val="32"/>
          <w:szCs w:val="32"/>
          <w:highlight w:val="none"/>
          <w:lang w:eastAsia="zh-CN"/>
        </w:rPr>
        <w:t>一</w:t>
      </w:r>
      <w:r>
        <w:rPr>
          <w:rFonts w:hint="eastAsia" w:ascii="黑体" w:hAnsi="黑体" w:eastAsia="黑体" w:cs="宋体"/>
          <w:color w:val="000000"/>
          <w:sz w:val="32"/>
          <w:szCs w:val="32"/>
          <w:highlight w:val="none"/>
        </w:rPr>
        <w:t xml:space="preserve">条 </w:t>
      </w:r>
      <w:r>
        <w:rPr>
          <w:rFonts w:hint="eastAsia" w:ascii="黑体" w:hAnsi="黑体" w:eastAsia="黑体" w:cs="宋体"/>
          <w:color w:val="000000"/>
          <w:sz w:val="32"/>
          <w:szCs w:val="32"/>
          <w:highlight w:val="none"/>
          <w:lang w:val="en-US" w:eastAsia="zh-CN"/>
        </w:rPr>
        <w:t xml:space="preserve"> </w:t>
      </w:r>
      <w:r>
        <w:rPr>
          <w:rFonts w:hint="eastAsia" w:ascii="仿宋" w:hAnsi="仿宋" w:eastAsia="仿宋" w:cs="仿宋"/>
          <w:color w:val="000000"/>
          <w:sz w:val="32"/>
          <w:szCs w:val="32"/>
          <w:highlight w:val="none"/>
        </w:rPr>
        <w:t>学校应当健全预算管理制度，按照轻重缓急、统筹兼顾的原则安排使用公用经费，既要保证开展日常教育教学活动所需的基本支出，又要适当安排促进学生全面发展所需的活动经费支出；完善内部经费管理办法，细化公用经费等支出范围与标准，加强实物消耗核算，建立规范的经费、实物等管理程序，建立物品采购登记台账，健全物品验收、进出库、保管、领用制度，明确责任，严格管理；健全内部控制制度、经济责任制度等监督制度，依法公开财务信息；做好给予个人有关补助的信息公示工作，接受社会公众监督。</w:t>
      </w:r>
    </w:p>
    <w:p>
      <w:pPr>
        <w:adjustRightInd w:val="0"/>
        <w:snapToGrid w:val="0"/>
        <w:spacing w:line="578" w:lineRule="exact"/>
        <w:ind w:firstLine="640" w:firstLineChars="200"/>
        <w:rPr>
          <w:rFonts w:hint="eastAsia" w:ascii="仿宋" w:hAnsi="仿宋" w:eastAsia="仿宋" w:cs="仿宋"/>
          <w:bCs/>
          <w:color w:val="000000"/>
          <w:sz w:val="32"/>
          <w:szCs w:val="32"/>
          <w:highlight w:val="none"/>
        </w:rPr>
      </w:pPr>
      <w:r>
        <w:rPr>
          <w:rFonts w:hint="eastAsia" w:ascii="黑体" w:hAnsi="黑体" w:eastAsia="黑体"/>
          <w:color w:val="000000"/>
          <w:sz w:val="32"/>
          <w:szCs w:val="32"/>
          <w:highlight w:val="none"/>
        </w:rPr>
        <w:t>第十</w:t>
      </w:r>
      <w:r>
        <w:rPr>
          <w:rFonts w:hint="eastAsia" w:ascii="黑体" w:hAnsi="黑体" w:eastAsia="黑体"/>
          <w:color w:val="000000"/>
          <w:sz w:val="32"/>
          <w:szCs w:val="32"/>
          <w:highlight w:val="none"/>
          <w:lang w:eastAsia="zh-CN"/>
        </w:rPr>
        <w:t>二</w:t>
      </w:r>
      <w:r>
        <w:rPr>
          <w:rFonts w:hint="eastAsia" w:ascii="黑体" w:hAnsi="黑体" w:eastAsia="黑体"/>
          <w:color w:val="000000"/>
          <w:sz w:val="32"/>
          <w:szCs w:val="32"/>
          <w:highlight w:val="none"/>
        </w:rPr>
        <w:t xml:space="preserve">条 </w:t>
      </w:r>
      <w:r>
        <w:rPr>
          <w:rFonts w:hint="eastAsia" w:ascii="黑体" w:hAnsi="黑体" w:eastAsia="黑体"/>
          <w:color w:val="000000"/>
          <w:sz w:val="32"/>
          <w:szCs w:val="32"/>
          <w:highlight w:val="none"/>
          <w:lang w:val="en-US" w:eastAsia="zh-CN"/>
        </w:rPr>
        <w:t xml:space="preserve"> </w:t>
      </w:r>
      <w:r>
        <w:rPr>
          <w:rFonts w:hint="eastAsia" w:ascii="仿宋" w:hAnsi="仿宋" w:eastAsia="仿宋" w:cs="仿宋"/>
          <w:bCs/>
          <w:color w:val="000000"/>
          <w:sz w:val="32"/>
          <w:szCs w:val="32"/>
          <w:highlight w:val="none"/>
          <w:lang w:eastAsia="zh-CN"/>
        </w:rPr>
        <w:t>补助经费实行全过程预算绩效管理。按规定科学合理设定绩效目标，年度执行中，省教育厅会同省财政厅指导市县教育部门、财政部门对绩效目标实现情况进行监控，确保绩效目标如期实现；年度执行结束后，省教育厅应会同省财政厅组织做好补助经费绩效自评工作，各经费使用单位应及时向同级财政部门报告上年度补助经费绩效自评结果；市县教育部门应按规定将经同级财政部门审核后的绩效自评报告报送省教育厅、省财政厅；省教育厅会同省财政厅于每年按规定将区域绩效自评结果报送教育部、财政部，并抄送财政部海南监管局。省财政厅和省教育厅根据需要适时开展补助经费重点绩效评价，评价结果作为预算安排、政策调整和改进管理的重要依据</w:t>
      </w:r>
      <w:r>
        <w:rPr>
          <w:rFonts w:hint="eastAsia" w:ascii="仿宋" w:hAnsi="仿宋" w:eastAsia="仿宋" w:cs="仿宋"/>
          <w:bCs/>
          <w:color w:val="000000"/>
          <w:sz w:val="32"/>
          <w:szCs w:val="32"/>
          <w:highlight w:val="none"/>
        </w:rPr>
        <w:t>。</w:t>
      </w:r>
    </w:p>
    <w:p>
      <w:pPr>
        <w:adjustRightInd w:val="0"/>
        <w:snapToGrid w:val="0"/>
        <w:spacing w:line="578" w:lineRule="exact"/>
        <w:ind w:firstLine="640" w:firstLineChars="200"/>
        <w:rPr>
          <w:rFonts w:hint="eastAsia" w:ascii="仿宋" w:hAnsi="仿宋" w:eastAsia="仿宋" w:cs="仿宋"/>
          <w:color w:val="000000"/>
          <w:sz w:val="32"/>
          <w:szCs w:val="32"/>
          <w:highlight w:val="none"/>
        </w:rPr>
      </w:pPr>
      <w:r>
        <w:rPr>
          <w:rFonts w:hint="eastAsia" w:ascii="黑体" w:hAnsi="黑体" w:eastAsia="黑体"/>
          <w:color w:val="000000"/>
          <w:sz w:val="32"/>
          <w:szCs w:val="32"/>
          <w:highlight w:val="none"/>
        </w:rPr>
        <w:t>第十</w:t>
      </w:r>
      <w:r>
        <w:rPr>
          <w:rFonts w:hint="eastAsia" w:ascii="黑体" w:hAnsi="黑体" w:eastAsia="黑体"/>
          <w:color w:val="000000"/>
          <w:sz w:val="32"/>
          <w:szCs w:val="32"/>
          <w:highlight w:val="none"/>
          <w:lang w:eastAsia="zh-CN"/>
        </w:rPr>
        <w:t>三</w:t>
      </w:r>
      <w:r>
        <w:rPr>
          <w:rFonts w:hint="eastAsia" w:ascii="黑体" w:hAnsi="黑体" w:eastAsia="黑体"/>
          <w:color w:val="000000"/>
          <w:sz w:val="32"/>
          <w:szCs w:val="32"/>
          <w:highlight w:val="none"/>
        </w:rPr>
        <w:t xml:space="preserve">条 </w:t>
      </w:r>
      <w:r>
        <w:rPr>
          <w:rFonts w:hint="eastAsia" w:ascii="黑体" w:hAnsi="黑体" w:eastAsia="黑体"/>
          <w:color w:val="000000"/>
          <w:sz w:val="32"/>
          <w:szCs w:val="32"/>
          <w:highlight w:val="none"/>
          <w:lang w:val="en-US" w:eastAsia="zh-CN"/>
        </w:rPr>
        <w:t xml:space="preserve"> </w:t>
      </w:r>
      <w:r>
        <w:rPr>
          <w:rFonts w:hint="eastAsia" w:ascii="仿宋" w:hAnsi="仿宋" w:eastAsia="仿宋" w:cs="仿宋"/>
          <w:color w:val="000000"/>
          <w:sz w:val="32"/>
          <w:szCs w:val="32"/>
          <w:highlight w:val="none"/>
          <w:lang w:eastAsia="zh-CN"/>
        </w:rPr>
        <w:t>市县</w:t>
      </w:r>
      <w:r>
        <w:rPr>
          <w:rFonts w:hint="eastAsia" w:ascii="仿宋" w:hAnsi="仿宋" w:eastAsia="仿宋" w:cs="仿宋"/>
          <w:color w:val="000000"/>
          <w:sz w:val="32"/>
          <w:szCs w:val="32"/>
          <w:highlight w:val="none"/>
        </w:rPr>
        <w:t>财政部门应当会同同级教育部门，按照各自职责加强项目审核申报、经费使用管理等工作，建立“谁使用、谁负责”的责任机制。严禁将补助经费用于平衡预算、偿还债务、支付利息、对外投资等支出，不得从补助经费中</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提取工作经费或管理经费</w:t>
      </w:r>
      <w:r>
        <w:rPr>
          <w:rFonts w:hint="eastAsia" w:ascii="仿宋" w:hAnsi="仿宋" w:eastAsia="仿宋" w:cs="仿宋"/>
          <w:color w:val="auto"/>
          <w:kern w:val="2"/>
          <w:sz w:val="32"/>
          <w:szCs w:val="32"/>
          <w:highlight w:val="none"/>
          <w:lang w:val="en-US" w:eastAsia="zh-CN" w:bidi="ar"/>
        </w:rPr>
        <w:t>，不得</w:t>
      </w:r>
      <w:r>
        <w:rPr>
          <w:rFonts w:hint="eastAsia" w:ascii="仿宋" w:hAnsi="仿宋" w:eastAsia="仿宋" w:cs="仿宋"/>
          <w:i w:val="0"/>
          <w:caps w:val="0"/>
          <w:color w:val="auto"/>
          <w:spacing w:val="0"/>
          <w:kern w:val="0"/>
          <w:sz w:val="32"/>
          <w:szCs w:val="32"/>
          <w:shd w:val="clear" w:color="auto" w:fill="auto"/>
          <w:lang w:val="en-US" w:eastAsia="zh-CN" w:bidi="ar"/>
        </w:rPr>
        <w:t>用于形象景观工程</w:t>
      </w:r>
      <w:r>
        <w:rPr>
          <w:rFonts w:hint="eastAsia" w:ascii="仿宋" w:hAnsi="仿宋" w:eastAsia="仿宋" w:cs="仿宋"/>
          <w:color w:val="000000"/>
          <w:sz w:val="32"/>
          <w:szCs w:val="32"/>
          <w:highlight w:val="none"/>
        </w:rPr>
        <w:t>。</w:t>
      </w:r>
    </w:p>
    <w:p>
      <w:pPr>
        <w:adjustRightInd w:val="0"/>
        <w:snapToGrid w:val="0"/>
        <w:spacing w:line="578" w:lineRule="exact"/>
        <w:ind w:firstLine="645"/>
        <w:rPr>
          <w:rFonts w:hint="eastAsia" w:ascii="仿宋" w:hAnsi="仿宋" w:eastAsia="仿宋" w:cs="仿宋"/>
          <w:sz w:val="32"/>
          <w:szCs w:val="32"/>
          <w:highlight w:val="none"/>
        </w:rPr>
      </w:pPr>
      <w:r>
        <w:rPr>
          <w:rFonts w:hint="eastAsia" w:ascii="黑体" w:hAnsi="黑体" w:eastAsia="黑体"/>
          <w:color w:val="000000"/>
          <w:sz w:val="32"/>
          <w:szCs w:val="32"/>
          <w:highlight w:val="none"/>
        </w:rPr>
        <w:t>第十</w:t>
      </w:r>
      <w:r>
        <w:rPr>
          <w:rFonts w:hint="eastAsia" w:ascii="黑体" w:hAnsi="黑体" w:eastAsia="黑体"/>
          <w:color w:val="000000"/>
          <w:sz w:val="32"/>
          <w:szCs w:val="32"/>
          <w:highlight w:val="none"/>
          <w:lang w:eastAsia="zh-CN"/>
        </w:rPr>
        <w:t>四</w:t>
      </w:r>
      <w:r>
        <w:rPr>
          <w:rFonts w:hint="eastAsia" w:ascii="黑体" w:hAnsi="黑体" w:eastAsia="黑体"/>
          <w:color w:val="000000"/>
          <w:sz w:val="32"/>
          <w:szCs w:val="32"/>
          <w:highlight w:val="none"/>
        </w:rPr>
        <w:t xml:space="preserve">条 </w:t>
      </w:r>
      <w:r>
        <w:rPr>
          <w:rFonts w:hint="eastAsia" w:ascii="黑体" w:hAnsi="黑体" w:eastAsia="黑体"/>
          <w:color w:val="000000"/>
          <w:sz w:val="32"/>
          <w:szCs w:val="32"/>
          <w:highlight w:val="none"/>
          <w:lang w:val="en-US" w:eastAsia="zh-CN"/>
        </w:rPr>
        <w:t xml:space="preserve"> </w:t>
      </w:r>
      <w:r>
        <w:rPr>
          <w:rFonts w:hint="eastAsia" w:ascii="仿宋" w:hAnsi="仿宋" w:eastAsia="仿宋" w:cs="仿宋"/>
          <w:color w:val="000000"/>
          <w:sz w:val="32"/>
          <w:szCs w:val="32"/>
          <w:highlight w:val="none"/>
          <w:lang w:eastAsia="zh-CN"/>
        </w:rPr>
        <w:t>各级财政、教育部门及其工作人员，以及申 报使用补助资金的部门、单位及个人，在项目资金审核管理、 分配使用等相关工作中，存在违反本办法规定，以及其他滥 用职权、玩忽职守、徇私舞弊等违法违规行为的，依法依规 追究相应责任</w:t>
      </w:r>
      <w:r>
        <w:rPr>
          <w:rFonts w:hint="eastAsia" w:ascii="仿宋" w:hAnsi="仿宋" w:eastAsia="仿宋" w:cs="仿宋"/>
          <w:sz w:val="32"/>
          <w:szCs w:val="32"/>
          <w:highlight w:val="none"/>
        </w:rPr>
        <w:t>。</w:t>
      </w:r>
    </w:p>
    <w:p>
      <w:pPr>
        <w:adjustRightInd w:val="0"/>
        <w:snapToGrid w:val="0"/>
        <w:spacing w:line="578" w:lineRule="exact"/>
        <w:ind w:firstLine="645"/>
        <w:rPr>
          <w:rFonts w:hint="eastAsia" w:ascii="仿宋" w:hAnsi="仿宋" w:eastAsia="仿宋" w:cs="仿宋"/>
          <w:color w:val="000000"/>
          <w:sz w:val="32"/>
          <w:szCs w:val="32"/>
          <w:highlight w:val="none"/>
        </w:rPr>
      </w:pPr>
      <w:r>
        <w:rPr>
          <w:rFonts w:hint="eastAsia" w:ascii="黑体" w:hAnsi="黑体" w:eastAsia="黑体"/>
          <w:color w:val="000000"/>
          <w:sz w:val="32"/>
          <w:szCs w:val="32"/>
          <w:highlight w:val="none"/>
        </w:rPr>
        <w:t>第十</w:t>
      </w:r>
      <w:r>
        <w:rPr>
          <w:rFonts w:hint="eastAsia" w:ascii="黑体" w:hAnsi="黑体" w:eastAsia="黑体"/>
          <w:color w:val="000000"/>
          <w:sz w:val="32"/>
          <w:szCs w:val="32"/>
          <w:highlight w:val="none"/>
          <w:lang w:eastAsia="zh-CN"/>
        </w:rPr>
        <w:t>五</w:t>
      </w:r>
      <w:r>
        <w:rPr>
          <w:rFonts w:hint="eastAsia" w:ascii="黑体" w:hAnsi="黑体" w:eastAsia="黑体"/>
          <w:color w:val="000000"/>
          <w:sz w:val="32"/>
          <w:szCs w:val="32"/>
          <w:highlight w:val="none"/>
        </w:rPr>
        <w:t xml:space="preserve">条 </w:t>
      </w:r>
      <w:r>
        <w:rPr>
          <w:rFonts w:hint="eastAsia" w:ascii="黑体" w:hAnsi="黑体" w:eastAsia="黑体"/>
          <w:color w:val="000000"/>
          <w:sz w:val="32"/>
          <w:szCs w:val="32"/>
          <w:highlight w:val="none"/>
          <w:lang w:val="en-US" w:eastAsia="zh-CN"/>
        </w:rPr>
        <w:t xml:space="preserve"> </w:t>
      </w:r>
      <w:r>
        <w:rPr>
          <w:rFonts w:hint="eastAsia" w:ascii="仿宋" w:hAnsi="仿宋" w:eastAsia="仿宋" w:cs="仿宋"/>
          <w:color w:val="000000"/>
          <w:sz w:val="32"/>
          <w:szCs w:val="32"/>
          <w:highlight w:val="none"/>
        </w:rPr>
        <w:t>本办法由</w:t>
      </w:r>
      <w:r>
        <w:rPr>
          <w:rFonts w:hint="eastAsia" w:ascii="仿宋" w:hAnsi="仿宋" w:eastAsia="仿宋" w:cs="仿宋"/>
          <w:color w:val="000000"/>
          <w:sz w:val="32"/>
          <w:szCs w:val="32"/>
          <w:highlight w:val="none"/>
          <w:lang w:eastAsia="zh-CN"/>
        </w:rPr>
        <w:t>省财政厅</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省教育厅</w:t>
      </w:r>
      <w:r>
        <w:rPr>
          <w:rFonts w:hint="eastAsia" w:ascii="仿宋" w:hAnsi="仿宋" w:eastAsia="仿宋" w:cs="仿宋"/>
          <w:color w:val="000000"/>
          <w:sz w:val="32"/>
          <w:szCs w:val="32"/>
          <w:highlight w:val="none"/>
        </w:rPr>
        <w:t>负责解释。各</w:t>
      </w:r>
      <w:r>
        <w:rPr>
          <w:rFonts w:hint="eastAsia" w:ascii="仿宋" w:hAnsi="仿宋" w:eastAsia="仿宋" w:cs="仿宋"/>
          <w:color w:val="000000"/>
          <w:sz w:val="32"/>
          <w:szCs w:val="32"/>
          <w:highlight w:val="none"/>
          <w:lang w:eastAsia="zh-CN"/>
        </w:rPr>
        <w:t>市县</w:t>
      </w:r>
      <w:r>
        <w:rPr>
          <w:rFonts w:hint="eastAsia" w:ascii="仿宋" w:hAnsi="仿宋" w:eastAsia="仿宋" w:cs="仿宋"/>
          <w:color w:val="000000"/>
          <w:sz w:val="32"/>
          <w:szCs w:val="32"/>
          <w:highlight w:val="none"/>
        </w:rPr>
        <w:t>财政、教育部门</w:t>
      </w:r>
      <w:r>
        <w:rPr>
          <w:rFonts w:hint="eastAsia" w:ascii="仿宋" w:hAnsi="仿宋" w:eastAsia="仿宋" w:cs="仿宋"/>
          <w:color w:val="000000"/>
          <w:sz w:val="32"/>
          <w:szCs w:val="32"/>
          <w:highlight w:val="none"/>
          <w:lang w:eastAsia="zh-CN"/>
        </w:rPr>
        <w:t>可</w:t>
      </w:r>
      <w:r>
        <w:rPr>
          <w:rFonts w:hint="eastAsia" w:ascii="仿宋" w:hAnsi="仿宋" w:eastAsia="仿宋" w:cs="仿宋"/>
          <w:color w:val="000000"/>
          <w:sz w:val="32"/>
          <w:szCs w:val="32"/>
          <w:highlight w:val="none"/>
        </w:rPr>
        <w:t>根据本办法，结合各地实际，制定具体</w:t>
      </w:r>
      <w:r>
        <w:rPr>
          <w:rFonts w:hint="eastAsia" w:ascii="仿宋" w:hAnsi="仿宋" w:eastAsia="仿宋" w:cs="仿宋"/>
          <w:color w:val="000000"/>
          <w:sz w:val="32"/>
          <w:szCs w:val="32"/>
          <w:highlight w:val="none"/>
          <w:lang w:eastAsia="zh-CN"/>
        </w:rPr>
        <w:t>实施细则，报省财政厅、省教育厅备案</w:t>
      </w:r>
      <w:r>
        <w:rPr>
          <w:rFonts w:hint="eastAsia" w:ascii="仿宋" w:hAnsi="仿宋" w:eastAsia="仿宋" w:cs="仿宋"/>
          <w:color w:val="000000"/>
          <w:sz w:val="32"/>
          <w:szCs w:val="32"/>
          <w:highlight w:val="none"/>
        </w:rPr>
        <w:t>。</w:t>
      </w:r>
    </w:p>
    <w:p>
      <w:pPr>
        <w:autoSpaceDE w:val="0"/>
        <w:autoSpaceDN w:val="0"/>
        <w:adjustRightInd/>
        <w:snapToGrid/>
        <w:spacing w:line="578" w:lineRule="exact"/>
        <w:ind w:left="0" w:firstLine="0" w:firstLineChars="0"/>
        <w:rPr>
          <w:rFonts w:hint="eastAsia" w:ascii="仿宋" w:hAnsi="仿宋" w:eastAsia="仿宋" w:cs="仿宋"/>
          <w:color w:val="000000"/>
          <w:sz w:val="32"/>
          <w:szCs w:val="32"/>
          <w:highlight w:val="none"/>
        </w:rPr>
      </w:pPr>
      <w:r>
        <w:rPr>
          <w:rFonts w:hint="eastAsia" w:ascii="黑体" w:hAnsi="黑体" w:eastAsia="黑体"/>
          <w:color w:val="000000"/>
          <w:sz w:val="32"/>
          <w:szCs w:val="32"/>
          <w:highlight w:val="none"/>
          <w:lang w:val="en-US" w:eastAsia="zh-CN"/>
        </w:rPr>
        <w:t xml:space="preserve">    </w:t>
      </w:r>
      <w:r>
        <w:rPr>
          <w:rFonts w:hint="eastAsia" w:ascii="黑体" w:hAnsi="黑体" w:eastAsia="黑体"/>
          <w:color w:val="000000"/>
          <w:sz w:val="32"/>
          <w:szCs w:val="32"/>
          <w:highlight w:val="none"/>
        </w:rPr>
        <w:t>第十</w:t>
      </w:r>
      <w:r>
        <w:rPr>
          <w:rFonts w:hint="eastAsia" w:ascii="黑体" w:hAnsi="黑体" w:eastAsia="黑体"/>
          <w:color w:val="000000"/>
          <w:sz w:val="32"/>
          <w:szCs w:val="32"/>
          <w:highlight w:val="none"/>
          <w:lang w:eastAsia="zh-CN"/>
        </w:rPr>
        <w:t>六</w:t>
      </w:r>
      <w:r>
        <w:rPr>
          <w:rFonts w:hint="eastAsia" w:ascii="黑体" w:hAnsi="黑体" w:eastAsia="黑体"/>
          <w:color w:val="000000"/>
          <w:sz w:val="32"/>
          <w:szCs w:val="32"/>
          <w:highlight w:val="none"/>
        </w:rPr>
        <w:t xml:space="preserve">条 </w:t>
      </w:r>
      <w:r>
        <w:rPr>
          <w:rFonts w:hint="eastAsia" w:ascii="黑体" w:hAnsi="黑体" w:eastAsia="黑体"/>
          <w:color w:val="000000"/>
          <w:sz w:val="32"/>
          <w:szCs w:val="32"/>
          <w:highlight w:val="none"/>
          <w:lang w:val="en-US" w:eastAsia="zh-CN"/>
        </w:rPr>
        <w:t xml:space="preserve"> </w:t>
      </w:r>
      <w:r>
        <w:rPr>
          <w:rFonts w:hint="eastAsia" w:ascii="仿宋" w:hAnsi="仿宋" w:eastAsia="仿宋" w:cs="仿宋"/>
          <w:color w:val="000000"/>
          <w:sz w:val="32"/>
          <w:szCs w:val="32"/>
          <w:highlight w:val="none"/>
        </w:rPr>
        <w:t>本办法自</w:t>
      </w:r>
      <w:r>
        <w:rPr>
          <w:rFonts w:hint="eastAsia" w:ascii="仿宋" w:hAnsi="仿宋" w:eastAsia="仿宋" w:cs="仿宋"/>
          <w:b w:val="0"/>
          <w:i w:val="0"/>
          <w:caps w:val="0"/>
          <w:color w:val="000000"/>
          <w:spacing w:val="0"/>
          <w:sz w:val="32"/>
          <w:szCs w:val="32"/>
          <w:shd w:val="clear" w:color="auto" w:fill="FFFFFF"/>
          <w:lang w:eastAsia="zh-CN"/>
        </w:rPr>
        <w:t>印发之日起</w:t>
      </w:r>
      <w:r>
        <w:rPr>
          <w:rFonts w:hint="eastAsia" w:ascii="仿宋" w:hAnsi="仿宋" w:eastAsia="仿宋" w:cs="仿宋"/>
          <w:b w:val="0"/>
          <w:i w:val="0"/>
          <w:caps w:val="0"/>
          <w:color w:val="000000"/>
          <w:spacing w:val="0"/>
          <w:sz w:val="32"/>
          <w:szCs w:val="32"/>
          <w:shd w:val="clear" w:color="auto" w:fill="FFFFFF"/>
        </w:rPr>
        <w:t>施行</w:t>
      </w:r>
      <w:r>
        <w:rPr>
          <w:rFonts w:hint="eastAsia" w:ascii="仿宋" w:hAnsi="仿宋" w:eastAsia="仿宋" w:cs="仿宋"/>
          <w:color w:val="000000"/>
          <w:sz w:val="32"/>
          <w:szCs w:val="32"/>
          <w:highlight w:val="none"/>
        </w:rPr>
        <w:t>。《海南省财政厅 海南省教育厅关于印发〈海南省城乡义务教育补助经费管理办法〉的通知》（琼财教规〔2021〕11号）</w:t>
      </w:r>
      <w:r>
        <w:rPr>
          <w:rFonts w:hint="eastAsia" w:ascii="仿宋" w:hAnsi="仿宋" w:eastAsia="仿宋" w:cs="仿宋"/>
          <w:color w:val="000000"/>
          <w:sz w:val="32"/>
          <w:szCs w:val="32"/>
          <w:highlight w:val="none"/>
          <w:lang w:eastAsia="zh-CN"/>
        </w:rPr>
        <w:t>同时废止。</w:t>
      </w:r>
    </w:p>
    <w:p>
      <w:pPr>
        <w:adjustRightInd w:val="0"/>
        <w:snapToGrid w:val="0"/>
        <w:spacing w:line="578" w:lineRule="exac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 xml:space="preserve">    </w:t>
      </w:r>
    </w:p>
    <w:p>
      <w:pPr>
        <w:adjustRightInd w:val="0"/>
        <w:snapToGrid w:val="0"/>
        <w:spacing w:line="578"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附：补助标准和资金分担方法</w:t>
      </w:r>
    </w:p>
    <w:p>
      <w:pPr>
        <w:adjustRightInd/>
        <w:snapToGrid/>
        <w:spacing w:line="490" w:lineRule="exact"/>
        <w:ind w:firstLine="0" w:firstLineChars="0"/>
        <w:rPr>
          <w:rFonts w:hint="eastAsia" w:ascii="仿宋_GB2312" w:hAnsi="仿宋" w:eastAsia="仿宋_GB2312"/>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br w:type="page"/>
      </w:r>
      <w:r>
        <w:rPr>
          <w:rFonts w:hint="eastAsia" w:ascii="黑体" w:hAnsi="黑体" w:eastAsia="黑体" w:cs="黑体"/>
          <w:color w:val="000000"/>
          <w:sz w:val="32"/>
          <w:szCs w:val="32"/>
          <w:highlight w:val="none"/>
          <w:lang w:val="en-US" w:eastAsia="zh-CN"/>
        </w:rPr>
        <w:t>附</w:t>
      </w:r>
    </w:p>
    <w:p>
      <w:pPr>
        <w:adjustRightInd/>
        <w:snapToGrid/>
        <w:spacing w:line="490" w:lineRule="exact"/>
        <w:ind w:firstLine="0" w:firstLineChars="0"/>
        <w:jc w:val="center"/>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补助标准和资金分担方法</w:t>
      </w:r>
    </w:p>
    <w:p>
      <w:pPr>
        <w:adjustRightInd/>
        <w:snapToGrid/>
        <w:spacing w:line="490" w:lineRule="exact"/>
        <w:ind w:firstLine="0" w:firstLineChars="0"/>
        <w:jc w:val="center"/>
        <w:rPr>
          <w:rFonts w:hint="eastAsia" w:ascii="方正小标宋简体" w:hAnsi="方正小标宋简体" w:eastAsia="方正小标宋简体" w:cs="方正小标宋简体"/>
          <w:color w:val="000000"/>
          <w:sz w:val="44"/>
          <w:szCs w:val="44"/>
          <w:highlight w:val="none"/>
          <w:lang w:val="en-US" w:eastAsia="zh-CN"/>
        </w:rPr>
      </w:pPr>
    </w:p>
    <w:tbl>
      <w:tblPr>
        <w:tblStyle w:val="8"/>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1206"/>
        <w:gridCol w:w="6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4" w:lineRule="exact"/>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项目</w:t>
            </w:r>
          </w:p>
        </w:tc>
        <w:tc>
          <w:tcPr>
            <w:tcW w:w="38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4" w:lineRule="exact"/>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补助标准和资金分担方法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4"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城乡义务教育经费保障机制</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4" w:lineRule="exact"/>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公用经费补助</w:t>
            </w:r>
          </w:p>
        </w:tc>
        <w:tc>
          <w:tcPr>
            <w:tcW w:w="38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4" w:lineRule="exact"/>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生均公用经费基准定额为小学850元/年</w:t>
            </w:r>
            <w:r>
              <w:rPr>
                <w:rStyle w:val="19"/>
                <w:rFonts w:hint="eastAsia" w:asciiTheme="minorEastAsia" w:hAnsiTheme="minorEastAsia" w:eastAsiaTheme="minorEastAsia" w:cstheme="minorEastAsia"/>
                <w:color w:val="auto"/>
                <w:sz w:val="21"/>
                <w:szCs w:val="21"/>
                <w:lang w:val="en-US" w:eastAsia="zh-CN" w:bidi="ar"/>
              </w:rPr>
              <w:t>•</w:t>
            </w:r>
            <w:r>
              <w:rPr>
                <w:rStyle w:val="20"/>
                <w:rFonts w:asciiTheme="minorEastAsia" w:hAnsiTheme="minorEastAsia" w:eastAsiaTheme="minorEastAsia" w:cstheme="minorEastAsia"/>
                <w:color w:val="auto"/>
                <w:sz w:val="21"/>
                <w:szCs w:val="21"/>
                <w:lang w:val="en-US" w:eastAsia="zh-CN" w:bidi="ar"/>
              </w:rPr>
              <w:t>人、初中1070元/年</w:t>
            </w:r>
            <w:r>
              <w:rPr>
                <w:rStyle w:val="19"/>
                <w:rFonts w:hint="eastAsia" w:asciiTheme="minorEastAsia" w:hAnsiTheme="minorEastAsia" w:eastAsiaTheme="minorEastAsia" w:cstheme="minorEastAsia"/>
                <w:color w:val="auto"/>
                <w:sz w:val="21"/>
                <w:szCs w:val="21"/>
                <w:lang w:val="en-US" w:eastAsia="zh-CN" w:bidi="ar"/>
              </w:rPr>
              <w:t>•</w:t>
            </w:r>
            <w:r>
              <w:rPr>
                <w:rStyle w:val="20"/>
                <w:rFonts w:asciiTheme="minorEastAsia" w:hAnsiTheme="minorEastAsia" w:eastAsiaTheme="minorEastAsia" w:cstheme="minorEastAsia"/>
                <w:color w:val="auto"/>
                <w:sz w:val="21"/>
                <w:szCs w:val="21"/>
                <w:lang w:val="en-US" w:eastAsia="zh-CN" w:bidi="ar"/>
              </w:rPr>
              <w:t>人；在此基础上，对寄宿制学校按照寄宿生300元/年</w:t>
            </w:r>
            <w:r>
              <w:rPr>
                <w:rStyle w:val="19"/>
                <w:rFonts w:hint="eastAsia" w:asciiTheme="minorEastAsia" w:hAnsiTheme="minorEastAsia" w:eastAsiaTheme="minorEastAsia" w:cstheme="minorEastAsia"/>
                <w:color w:val="auto"/>
                <w:sz w:val="21"/>
                <w:szCs w:val="21"/>
                <w:lang w:val="en-US" w:eastAsia="zh-CN" w:bidi="ar"/>
              </w:rPr>
              <w:t>•</w:t>
            </w:r>
            <w:r>
              <w:rPr>
                <w:rStyle w:val="20"/>
                <w:rFonts w:asciiTheme="minorEastAsia" w:hAnsiTheme="minorEastAsia" w:eastAsiaTheme="minorEastAsia" w:cstheme="minorEastAsia"/>
                <w:color w:val="auto"/>
                <w:sz w:val="21"/>
                <w:szCs w:val="21"/>
                <w:lang w:val="en-US" w:eastAsia="zh-CN" w:bidi="ar"/>
              </w:rPr>
              <w:t>人的标准增加公用经费补助。继续落实农村地区不足100人的规模较小学校按100人核定公用经费政策；对三沙市所辖地区学校按照实际在校生及6000元/年</w:t>
            </w:r>
            <w:r>
              <w:rPr>
                <w:rStyle w:val="19"/>
                <w:rFonts w:hint="eastAsia" w:asciiTheme="minorEastAsia" w:hAnsiTheme="minorEastAsia" w:eastAsiaTheme="minorEastAsia" w:cstheme="minorEastAsia"/>
                <w:color w:val="auto"/>
                <w:sz w:val="21"/>
                <w:szCs w:val="21"/>
                <w:lang w:val="en-US" w:eastAsia="zh-CN" w:bidi="ar"/>
              </w:rPr>
              <w:t>•</w:t>
            </w:r>
            <w:r>
              <w:rPr>
                <w:rStyle w:val="20"/>
                <w:rFonts w:asciiTheme="minorEastAsia" w:hAnsiTheme="minorEastAsia" w:eastAsiaTheme="minorEastAsia" w:cstheme="minorEastAsia"/>
                <w:color w:val="auto"/>
                <w:sz w:val="21"/>
                <w:szCs w:val="21"/>
                <w:lang w:val="en-US" w:eastAsia="zh-CN" w:bidi="ar"/>
              </w:rPr>
              <w:t>人的标准补助公用经费；对特殊教育学校和随班就读残疾学生按照8000元/年</w:t>
            </w:r>
            <w:r>
              <w:rPr>
                <w:rStyle w:val="19"/>
                <w:rFonts w:hint="eastAsia" w:asciiTheme="minorEastAsia" w:hAnsiTheme="minorEastAsia" w:eastAsiaTheme="minorEastAsia" w:cstheme="minorEastAsia"/>
                <w:color w:val="auto"/>
                <w:sz w:val="21"/>
                <w:szCs w:val="21"/>
                <w:lang w:val="en-US" w:eastAsia="zh-CN" w:bidi="ar"/>
              </w:rPr>
              <w:t>•</w:t>
            </w:r>
            <w:r>
              <w:rPr>
                <w:rStyle w:val="20"/>
                <w:rFonts w:asciiTheme="minorEastAsia" w:hAnsiTheme="minorEastAsia" w:eastAsiaTheme="minorEastAsia" w:cstheme="minorEastAsia"/>
                <w:color w:val="auto"/>
                <w:sz w:val="21"/>
                <w:szCs w:val="21"/>
                <w:lang w:val="en-US" w:eastAsia="zh-CN" w:bidi="ar"/>
              </w:rPr>
              <w:t>人的标准补助公用经费。公用经费补助资金（国家基础标准部分）中央与地方按照6:4分担（其中国务院规定比照享受西部开发政策的民族市县中央与地方继续按照8:2分担），地方分担部分（含我省基础标准高于国家基础标准部分），省属学校经费由省级承担，市县所属学校经费由省与市县按照7:3分担。义务教育学校生均公用经费学生数取自上年度教育事业统计相关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4" w:lineRule="exact"/>
              <w:jc w:val="center"/>
              <w:rPr>
                <w:rFonts w:hint="eastAsia" w:asciiTheme="minorEastAsia" w:hAnsiTheme="minorEastAsia" w:eastAsiaTheme="minorEastAsia" w:cstheme="minorEastAsia"/>
                <w:i w:val="0"/>
                <w:iCs w:val="0"/>
                <w:color w:val="auto"/>
                <w:sz w:val="21"/>
                <w:szCs w:val="21"/>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4" w:lineRule="exact"/>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免费提供教科书（含字典）补助</w:t>
            </w:r>
          </w:p>
        </w:tc>
        <w:tc>
          <w:tcPr>
            <w:tcW w:w="38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4" w:lineRule="exact"/>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国家规定课程和免费为小学一年级新生提供正版学生字典资金由中央承担，省规定的地方课程、练习册及英语音像视听资料资金由省级承担。按照小学20元/年</w:t>
            </w:r>
            <w:r>
              <w:rPr>
                <w:rStyle w:val="19"/>
                <w:rFonts w:hint="eastAsia" w:asciiTheme="minorEastAsia" w:hAnsiTheme="minorEastAsia" w:eastAsiaTheme="minorEastAsia" w:cstheme="minorEastAsia"/>
                <w:color w:val="auto"/>
                <w:sz w:val="21"/>
                <w:szCs w:val="21"/>
                <w:lang w:val="en-US" w:eastAsia="zh-CN" w:bidi="ar"/>
              </w:rPr>
              <w:t>•</w:t>
            </w:r>
            <w:r>
              <w:rPr>
                <w:rStyle w:val="20"/>
                <w:rFonts w:asciiTheme="minorEastAsia" w:hAnsiTheme="minorEastAsia" w:eastAsiaTheme="minorEastAsia" w:cstheme="minorEastAsia"/>
                <w:color w:val="auto"/>
                <w:sz w:val="21"/>
                <w:szCs w:val="21"/>
                <w:lang w:val="en-US" w:eastAsia="zh-CN" w:bidi="ar"/>
              </w:rPr>
              <w:t>人、初中30元/年</w:t>
            </w:r>
            <w:r>
              <w:rPr>
                <w:rStyle w:val="19"/>
                <w:rFonts w:hint="eastAsia" w:asciiTheme="minorEastAsia" w:hAnsiTheme="minorEastAsia" w:eastAsiaTheme="minorEastAsia" w:cstheme="minorEastAsia"/>
                <w:color w:val="auto"/>
                <w:sz w:val="21"/>
                <w:szCs w:val="21"/>
                <w:lang w:val="en-US" w:eastAsia="zh-CN" w:bidi="ar"/>
              </w:rPr>
              <w:t>•</w:t>
            </w:r>
            <w:r>
              <w:rPr>
                <w:rStyle w:val="20"/>
                <w:rFonts w:asciiTheme="minorEastAsia" w:hAnsiTheme="minorEastAsia" w:eastAsiaTheme="minorEastAsia" w:cstheme="minorEastAsia"/>
                <w:color w:val="auto"/>
                <w:sz w:val="21"/>
                <w:szCs w:val="21"/>
                <w:lang w:val="en-US" w:eastAsia="zh-CN" w:bidi="ar"/>
              </w:rPr>
              <w:t>人的标准免费提供作业本，所需资金按照单位隶属关系由省和市县分别承担。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4" w:lineRule="exact"/>
              <w:jc w:val="center"/>
              <w:rPr>
                <w:rFonts w:hint="eastAsia" w:asciiTheme="minorEastAsia" w:hAnsiTheme="minorEastAsia" w:eastAsiaTheme="minorEastAsia" w:cstheme="minorEastAsia"/>
                <w:i w:val="0"/>
                <w:iCs w:val="0"/>
                <w:color w:val="auto"/>
                <w:sz w:val="21"/>
                <w:szCs w:val="21"/>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4" w:lineRule="exact"/>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家庭经济困难学生生活补助</w:t>
            </w:r>
          </w:p>
        </w:tc>
        <w:tc>
          <w:tcPr>
            <w:tcW w:w="38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4" w:lineRule="exact"/>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家庭经济困难寄宿生生活补助国家基础标准为小学1250元/年</w:t>
            </w:r>
            <w:r>
              <w:rPr>
                <w:rStyle w:val="19"/>
                <w:rFonts w:hint="eastAsia" w:asciiTheme="minorEastAsia" w:hAnsiTheme="minorEastAsia" w:eastAsiaTheme="minorEastAsia" w:cstheme="minorEastAsia"/>
                <w:color w:val="auto"/>
                <w:sz w:val="21"/>
                <w:szCs w:val="21"/>
                <w:lang w:val="en-US" w:eastAsia="zh-CN" w:bidi="ar"/>
              </w:rPr>
              <w:t>•</w:t>
            </w:r>
            <w:r>
              <w:rPr>
                <w:rStyle w:val="20"/>
                <w:rFonts w:asciiTheme="minorEastAsia" w:hAnsiTheme="minorEastAsia" w:eastAsiaTheme="minorEastAsia" w:cstheme="minorEastAsia"/>
                <w:color w:val="auto"/>
                <w:sz w:val="21"/>
                <w:szCs w:val="21"/>
                <w:lang w:val="en-US" w:eastAsia="zh-CN" w:bidi="ar"/>
              </w:rPr>
              <w:t>人，初中1500元/年</w:t>
            </w:r>
            <w:r>
              <w:rPr>
                <w:rStyle w:val="19"/>
                <w:rFonts w:hint="eastAsia" w:asciiTheme="minorEastAsia" w:hAnsiTheme="minorEastAsia" w:eastAsiaTheme="minorEastAsia" w:cstheme="minorEastAsia"/>
                <w:color w:val="auto"/>
                <w:sz w:val="21"/>
                <w:szCs w:val="21"/>
                <w:lang w:val="en-US" w:eastAsia="zh-CN" w:bidi="ar"/>
              </w:rPr>
              <w:t>•</w:t>
            </w:r>
            <w:r>
              <w:rPr>
                <w:rStyle w:val="20"/>
                <w:rFonts w:asciiTheme="minorEastAsia" w:hAnsiTheme="minorEastAsia" w:eastAsiaTheme="minorEastAsia" w:cstheme="minorEastAsia"/>
                <w:color w:val="auto"/>
                <w:sz w:val="21"/>
                <w:szCs w:val="21"/>
                <w:lang w:val="en-US" w:eastAsia="zh-CN" w:bidi="ar"/>
              </w:rPr>
              <w:t>人，按国家基础标准50%核定家庭经济困难非寄宿生生活补助标准，所需经费由中央与地方按照5:5分担，地方财政分担部分，省属学校经费由省级承担，市县所属学校经费由省与市县按照7:3分担。家庭经济困难寄宿生生活补助人数以上年度教育事业统计相关数据为基础，由省教育厅、省财政厅根据各市县和省属学校实际情况确定补助比例；非寄宿生生活补助人数按照省级教育部门审核后的市县上报人数确定，不足部分资金，市县所属学校由市县自行承担，省属学校由省级在下一年度补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4" w:lineRule="exact"/>
              <w:jc w:val="center"/>
              <w:rPr>
                <w:rFonts w:hint="eastAsia" w:asciiTheme="minorEastAsia" w:hAnsiTheme="minorEastAsia" w:eastAsiaTheme="minorEastAsia" w:cstheme="minorEastAsia"/>
                <w:i w:val="0"/>
                <w:iCs w:val="0"/>
                <w:color w:val="auto"/>
                <w:sz w:val="21"/>
                <w:szCs w:val="21"/>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4" w:lineRule="exact"/>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农村校舍安全保障长效机制补助</w:t>
            </w:r>
          </w:p>
        </w:tc>
        <w:tc>
          <w:tcPr>
            <w:tcW w:w="38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4" w:lineRule="exact"/>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农村公办学校校舍安全保障经费由中央与省级按照6:4分担，单位面积补助测算标准为1100元/平方米，超过测算标准所需经费则由市县统筹安排。省财政厅、省教育厅统筹中央和省级资金，依据农村义务教育学校数、学生数、校舍面积、贫困程度等因素分配下达各市县，相关因素取自上年度教育事业统计相关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4" w:lineRule="exact"/>
              <w:jc w:val="center"/>
              <w:rPr>
                <w:rFonts w:hint="eastAsia" w:asciiTheme="minorEastAsia" w:hAnsiTheme="minorEastAsia" w:eastAsiaTheme="minorEastAsia" w:cstheme="minorEastAsia"/>
                <w:i w:val="0"/>
                <w:iCs w:val="0"/>
                <w:color w:val="auto"/>
                <w:sz w:val="21"/>
                <w:szCs w:val="21"/>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4" w:lineRule="exact"/>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综合奖补</w:t>
            </w:r>
          </w:p>
        </w:tc>
        <w:tc>
          <w:tcPr>
            <w:tcW w:w="38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4" w:lineRule="exact"/>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综合奖补资金由省财政厅、省教育厅根据我省城乡义务教育发展状况和相关因素分配下达。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4" w:lineRule="exact"/>
              <w:jc w:val="center"/>
              <w:textAlignment w:val="center"/>
              <w:rPr>
                <w:rStyle w:val="21"/>
                <w:rFonts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特岗教师</w:t>
            </w:r>
            <w:r>
              <w:rPr>
                <w:rStyle w:val="21"/>
                <w:rFonts w:asciiTheme="minorEastAsia" w:hAnsiTheme="minorEastAsia" w:eastAsiaTheme="minorEastAsia" w:cstheme="minorEastAsia"/>
                <w:color w:val="auto"/>
                <w:sz w:val="21"/>
                <w:szCs w:val="21"/>
                <w:lang w:val="en-US" w:eastAsia="zh-CN" w:bidi="ar"/>
              </w:rPr>
              <w:t>工资性</w:t>
            </w:r>
          </w:p>
          <w:p>
            <w:pPr>
              <w:keepNext w:val="0"/>
              <w:keepLines w:val="0"/>
              <w:widowControl/>
              <w:suppressLineNumbers w:val="0"/>
              <w:spacing w:line="284" w:lineRule="exact"/>
              <w:jc w:val="center"/>
              <w:textAlignment w:val="center"/>
              <w:rPr>
                <w:rFonts w:hint="eastAsia" w:asciiTheme="minorEastAsia" w:hAnsiTheme="minorEastAsia" w:eastAsiaTheme="minorEastAsia" w:cstheme="minorEastAsia"/>
                <w:i w:val="0"/>
                <w:iCs w:val="0"/>
                <w:color w:val="auto"/>
                <w:sz w:val="21"/>
                <w:szCs w:val="21"/>
                <w:u w:val="none"/>
              </w:rPr>
            </w:pPr>
            <w:r>
              <w:rPr>
                <w:rStyle w:val="22"/>
                <w:rFonts w:asciiTheme="minorEastAsia" w:hAnsiTheme="minorEastAsia" w:eastAsiaTheme="minorEastAsia" w:cstheme="minorEastAsia"/>
                <w:color w:val="auto"/>
                <w:sz w:val="21"/>
                <w:szCs w:val="21"/>
                <w:lang w:val="en-US" w:eastAsia="zh-CN" w:bidi="ar"/>
              </w:rPr>
              <w:t>补助</w:t>
            </w:r>
          </w:p>
        </w:tc>
        <w:tc>
          <w:tcPr>
            <w:tcW w:w="38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4" w:lineRule="exact"/>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中央给予特岗教师工资性补助3.88万元/年</w:t>
            </w:r>
            <w:r>
              <w:rPr>
                <w:rStyle w:val="19"/>
                <w:rFonts w:hint="eastAsia" w:asciiTheme="minorEastAsia" w:hAnsiTheme="minorEastAsia" w:eastAsiaTheme="minorEastAsia" w:cstheme="minorEastAsia"/>
                <w:color w:val="auto"/>
                <w:sz w:val="21"/>
                <w:szCs w:val="21"/>
                <w:lang w:val="en-US" w:eastAsia="zh-CN" w:bidi="ar"/>
              </w:rPr>
              <w:t>•</w:t>
            </w:r>
            <w:r>
              <w:rPr>
                <w:rStyle w:val="20"/>
                <w:rFonts w:asciiTheme="minorEastAsia" w:hAnsiTheme="minorEastAsia" w:eastAsiaTheme="minorEastAsia" w:cstheme="minorEastAsia"/>
                <w:color w:val="auto"/>
                <w:sz w:val="21"/>
                <w:szCs w:val="21"/>
                <w:lang w:val="en-US" w:eastAsia="zh-CN" w:bidi="ar"/>
              </w:rPr>
              <w:t>人，以此工资性补助为基数，省级相应负担需由单位承担的社会保险缴费、住房公积金，以及特岗教师必要的交通补助。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4" w:lineRule="exact"/>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学生营养膳食补助</w:t>
            </w:r>
          </w:p>
        </w:tc>
        <w:tc>
          <w:tcPr>
            <w:tcW w:w="38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4" w:lineRule="exact"/>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营养膳食补助国家基础标准为4元/天</w:t>
            </w:r>
            <w:r>
              <w:rPr>
                <w:rStyle w:val="19"/>
                <w:rFonts w:hint="eastAsia" w:asciiTheme="minorEastAsia" w:hAnsiTheme="minorEastAsia" w:eastAsiaTheme="minorEastAsia" w:cstheme="minorEastAsia"/>
                <w:color w:val="auto"/>
                <w:sz w:val="21"/>
                <w:szCs w:val="21"/>
                <w:lang w:val="en-US" w:eastAsia="zh-CN" w:bidi="ar"/>
              </w:rPr>
              <w:t>•</w:t>
            </w:r>
            <w:r>
              <w:rPr>
                <w:rStyle w:val="20"/>
                <w:rFonts w:asciiTheme="minorEastAsia" w:hAnsiTheme="minorEastAsia" w:eastAsiaTheme="minorEastAsia" w:cstheme="minorEastAsia"/>
                <w:color w:val="auto"/>
                <w:sz w:val="21"/>
                <w:szCs w:val="21"/>
                <w:lang w:val="en-US" w:eastAsia="zh-CN" w:bidi="ar"/>
              </w:rPr>
              <w:t>人，每学年按200天计算。试点所需资金，除中央奖补资金外，省级试点市县所需资金，由省与市县按照7:3分担；自行试点市县所需经费，由市县承担；位于省级试点市县的省属公办学校经费由省级承担并转移支付给市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00" w:type="pct"/>
            <w:gridSpan w:val="3"/>
            <w:tcBorders>
              <w:top w:val="nil"/>
              <w:left w:val="nil"/>
              <w:bottom w:val="nil"/>
              <w:right w:val="nil"/>
            </w:tcBorders>
            <w:shd w:val="clear" w:color="auto" w:fill="auto"/>
            <w:vAlign w:val="top"/>
          </w:tcPr>
          <w:p>
            <w:pPr>
              <w:keepNext w:val="0"/>
              <w:keepLines w:val="0"/>
              <w:widowControl/>
              <w:suppressLineNumbers w:val="0"/>
              <w:spacing w:line="284" w:lineRule="exact"/>
              <w:jc w:val="left"/>
              <w:textAlignment w:val="top"/>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注：如中央或省级调整补助标准和资金分担方法，以调整后为准。</w:t>
            </w:r>
          </w:p>
        </w:tc>
      </w:tr>
    </w:tbl>
    <w:p>
      <w:pPr>
        <w:adjustRightInd w:val="0"/>
        <w:snapToGrid w:val="0"/>
        <w:spacing w:line="200" w:lineRule="exact"/>
        <w:ind w:firstLine="0" w:firstLineChars="0"/>
        <w:rPr>
          <w:rFonts w:hint="eastAsia" w:ascii="仿宋_GB2312" w:hAnsi="仿宋" w:eastAsia="仿宋_GB2312"/>
          <w:color w:val="000000"/>
          <w:sz w:val="32"/>
          <w:szCs w:val="32"/>
          <w:highlight w:val="none"/>
          <w:lang w:val="en-US" w:eastAsia="zh-CN"/>
        </w:rPr>
      </w:pPr>
    </w:p>
    <w:sectPr>
      <w:headerReference r:id="rId3" w:type="default"/>
      <w:footerReference r:id="rId4" w:type="default"/>
      <w:pgSz w:w="11906" w:h="16838"/>
      <w:pgMar w:top="2098" w:right="1474" w:bottom="1984" w:left="1587" w:header="851" w:footer="1587" w:gutter="0"/>
      <w:paperSrc/>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revisionView w:markup="0"/>
  <w:trackRevisions w:val="true"/>
  <w:documentProtection w:enforcement="0"/>
  <w:defaultTabStop w:val="420"/>
  <w:drawingGridHorizontalSpacing w:val="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7BC0D"/>
    <w:rsid w:val="1FED4EB4"/>
    <w:rsid w:val="27358262"/>
    <w:rsid w:val="343DEA8F"/>
    <w:rsid w:val="37FF48EC"/>
    <w:rsid w:val="37FF6A99"/>
    <w:rsid w:val="3F7E2C0D"/>
    <w:rsid w:val="74FD1949"/>
    <w:rsid w:val="75FFD840"/>
    <w:rsid w:val="77F78E00"/>
    <w:rsid w:val="7A7ED2DB"/>
    <w:rsid w:val="7E5A06EB"/>
    <w:rsid w:val="7EDF012E"/>
    <w:rsid w:val="7EE9B136"/>
    <w:rsid w:val="7FC39D35"/>
    <w:rsid w:val="8DF7A9CF"/>
    <w:rsid w:val="BB7EEFDD"/>
    <w:rsid w:val="BBA714F8"/>
    <w:rsid w:val="BF4B7015"/>
    <w:rsid w:val="BFFF567F"/>
    <w:rsid w:val="D7FF3D3C"/>
    <w:rsid w:val="DEF98C09"/>
    <w:rsid w:val="DFFA051B"/>
    <w:rsid w:val="FB1FB68B"/>
    <w:rsid w:val="FDFFBF04"/>
    <w:rsid w:val="FEBF3B15"/>
    <w:rsid w:val="FEFFA4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link w:val="10"/>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autoSpaceDE w:val="0"/>
      <w:autoSpaceDN w:val="0"/>
      <w:adjustRightInd w:val="0"/>
      <w:snapToGrid w:val="0"/>
      <w:spacing w:line="588" w:lineRule="atLeast"/>
    </w:pPr>
    <w:rPr>
      <w:rFonts w:ascii="宋体" w:hAnsi="宋体" w:eastAsia="仿宋_GB2312" w:cs="Times New Roman"/>
      <w:spacing w:val="-2"/>
      <w:sz w:val="32"/>
      <w:szCs w:val="24"/>
    </w:rPr>
  </w:style>
  <w:style w:type="paragraph" w:styleId="3">
    <w:name w:val="Plain Text"/>
    <w:basedOn w:val="1"/>
    <w:link w:val="18"/>
    <w:unhideWhenUsed/>
    <w:qFormat/>
    <w:uiPriority w:val="99"/>
    <w:rPr>
      <w:rFonts w:ascii="宋体" w:hAnsi="Courier New" w:cs="Courier New"/>
    </w:rPr>
  </w:style>
  <w:style w:type="paragraph" w:styleId="4">
    <w:name w:val="Balloon Text"/>
    <w:basedOn w:val="1"/>
    <w:link w:val="15"/>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rFonts w:cs="Times New Roman"/>
      <w:kern w:val="0"/>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0">
    <w:name w:val="正文1 Char Char Char"/>
    <w:basedOn w:val="1"/>
    <w:link w:val="9"/>
    <w:qFormat/>
    <w:uiPriority w:val="0"/>
    <w:pPr>
      <w:spacing w:line="360" w:lineRule="auto"/>
      <w:ind w:firstLine="200" w:firstLineChars="200"/>
    </w:pPr>
  </w:style>
  <w:style w:type="character" w:styleId="11">
    <w:name w:val="Strong"/>
    <w:qFormat/>
    <w:locked/>
    <w:uiPriority w:val="99"/>
    <w:rPr>
      <w:b/>
      <w:bCs/>
    </w:rPr>
  </w:style>
  <w:style w:type="character" w:styleId="12">
    <w:name w:val="page number"/>
    <w:basedOn w:val="9"/>
    <w:semiHidden/>
    <w:unhideWhenUsed/>
    <w:qFormat/>
    <w:uiPriority w:val="99"/>
  </w:style>
  <w:style w:type="paragraph" w:customStyle="1" w:styleId="13">
    <w:name w:val="List Paragraph"/>
    <w:basedOn w:val="1"/>
    <w:qFormat/>
    <w:uiPriority w:val="99"/>
    <w:pPr>
      <w:ind w:firstLine="420" w:firstLineChars="200"/>
    </w:pPr>
  </w:style>
  <w:style w:type="character" w:customStyle="1" w:styleId="14">
    <w:name w:val="正文文本 Char"/>
    <w:basedOn w:val="9"/>
    <w:link w:val="2"/>
    <w:qFormat/>
    <w:uiPriority w:val="0"/>
    <w:rPr>
      <w:rFonts w:ascii="宋体" w:hAnsi="宋体" w:eastAsia="仿宋_GB2312"/>
      <w:spacing w:val="-2"/>
      <w:sz w:val="32"/>
      <w:szCs w:val="24"/>
    </w:rPr>
  </w:style>
  <w:style w:type="character" w:customStyle="1" w:styleId="15">
    <w:name w:val="批注框文本 Char"/>
    <w:basedOn w:val="9"/>
    <w:link w:val="4"/>
    <w:semiHidden/>
    <w:qFormat/>
    <w:locked/>
    <w:uiPriority w:val="99"/>
    <w:rPr>
      <w:rFonts w:cs="Calibri"/>
      <w:kern w:val="2"/>
      <w:sz w:val="18"/>
      <w:szCs w:val="18"/>
    </w:rPr>
  </w:style>
  <w:style w:type="character" w:customStyle="1" w:styleId="16">
    <w:name w:val="页脚 Char"/>
    <w:basedOn w:val="9"/>
    <w:link w:val="5"/>
    <w:qFormat/>
    <w:locked/>
    <w:uiPriority w:val="99"/>
    <w:rPr>
      <w:rFonts w:cs="Times New Roman"/>
      <w:sz w:val="18"/>
    </w:rPr>
  </w:style>
  <w:style w:type="character" w:customStyle="1" w:styleId="17">
    <w:name w:val="页眉 Char"/>
    <w:basedOn w:val="9"/>
    <w:link w:val="6"/>
    <w:qFormat/>
    <w:locked/>
    <w:uiPriority w:val="99"/>
    <w:rPr>
      <w:rFonts w:cs="Times New Roman"/>
      <w:sz w:val="18"/>
    </w:rPr>
  </w:style>
  <w:style w:type="character" w:customStyle="1" w:styleId="18">
    <w:name w:val="纯文本 Char"/>
    <w:basedOn w:val="9"/>
    <w:link w:val="3"/>
    <w:qFormat/>
    <w:uiPriority w:val="99"/>
    <w:rPr>
      <w:rFonts w:ascii="宋体" w:hAnsi="Courier New" w:cs="Courier New"/>
      <w:szCs w:val="21"/>
    </w:rPr>
  </w:style>
  <w:style w:type="character" w:customStyle="1" w:styleId="19">
    <w:name w:val="font11"/>
    <w:basedOn w:val="9"/>
    <w:qFormat/>
    <w:uiPriority w:val="0"/>
    <w:rPr>
      <w:rFonts w:hint="default" w:ascii="Times New Roman" w:hAnsi="Times New Roman" w:cs="Times New Roman"/>
      <w:color w:val="000000"/>
      <w:sz w:val="32"/>
      <w:szCs w:val="32"/>
      <w:u w:val="none"/>
    </w:rPr>
  </w:style>
  <w:style w:type="character" w:customStyle="1" w:styleId="20">
    <w:name w:val="font61"/>
    <w:basedOn w:val="9"/>
    <w:qFormat/>
    <w:uiPriority w:val="0"/>
    <w:rPr>
      <w:rFonts w:hint="eastAsia" w:ascii="仿宋" w:hAnsi="仿宋" w:eastAsia="仿宋" w:cs="仿宋"/>
      <w:color w:val="000000"/>
      <w:sz w:val="32"/>
      <w:szCs w:val="32"/>
      <w:u w:val="none"/>
    </w:rPr>
  </w:style>
  <w:style w:type="character" w:customStyle="1" w:styleId="21">
    <w:name w:val="font01"/>
    <w:basedOn w:val="9"/>
    <w:qFormat/>
    <w:uiPriority w:val="0"/>
    <w:rPr>
      <w:rFonts w:hint="eastAsia" w:ascii="仿宋" w:hAnsi="仿宋" w:eastAsia="仿宋" w:cs="仿宋"/>
      <w:color w:val="FF0000"/>
      <w:sz w:val="32"/>
      <w:szCs w:val="32"/>
      <w:u w:val="none"/>
    </w:rPr>
  </w:style>
  <w:style w:type="character" w:customStyle="1" w:styleId="22">
    <w:name w:val="font71"/>
    <w:basedOn w:val="9"/>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11</Pages>
  <Words>831</Words>
  <Characters>4741</Characters>
  <Lines>39</Lines>
  <Paragraphs>11</Paragraphs>
  <TotalTime>11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2016-10-02T01:19:00Z</dcterms:created>
  <dc:creator>얨ಯѠჸ</dc:creator>
  <cp:lastModifiedBy>uos</cp:lastModifiedBy>
  <cp:lastPrinted>2025-11-08T07:19:00Z</cp:lastPrinted>
  <dcterms:modified xsi:type="dcterms:W3CDTF">2026-02-02T17:02:54Z</dcterms:modified>
  <dc:title>关于印发《城乡义务教育补助经费管理办法》的通知财教〔2019〕121号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E07A874B1ADC46FFBD3473695504F907</vt:lpwstr>
  </property>
</Properties>
</file>